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rPr>
      </w:pPr>
    </w:p>
    <w:p>
      <w:pPr>
        <w:spacing w:line="360" w:lineRule="auto"/>
        <w:rPr>
          <w:rFonts w:hint="eastAsia"/>
        </w:rPr>
      </w:pPr>
      <w:r>
        <w:drawing>
          <wp:inline distT="0" distB="0" distL="114300" distR="114300">
            <wp:extent cx="2411095" cy="619125"/>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411095" cy="619125"/>
                    </a:xfrm>
                    <a:prstGeom prst="rect">
                      <a:avLst/>
                    </a:prstGeom>
                    <a:noFill/>
                    <a:ln>
                      <a:noFill/>
                    </a:ln>
                  </pic:spPr>
                </pic:pic>
              </a:graphicData>
            </a:graphic>
          </wp:inline>
        </w:drawing>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ascii="黑体" w:hAnsi="宋体" w:eastAsia="黑体"/>
          <w:szCs w:val="21"/>
        </w:rPr>
      </w:pPr>
      <w:r>
        <w:rPr>
          <w:rFonts w:ascii="黑体" w:hAnsi="宋体" w:eastAsia="黑体"/>
          <w:szCs w:val="21"/>
        </w:rPr>
        <w:pict>
          <v:shape id="_x0000_s1068" o:spid="_x0000_s1068" o:spt="202" type="#_x0000_t202" style="position:absolute;left:0pt;margin-left:96.75pt;margin-top:10.6pt;height:62.4pt;width:270pt;z-index:251659264;mso-width-relative:page;mso-height-relative:page;" fillcolor="#C0C0C0" filled="t" stroked="f" coordsize="21600,21600">
            <v:path/>
            <v:fill on="t" focussize="0,0"/>
            <v:stroke on="f" color="#C0C0C0"/>
            <v:imagedata o:title=""/>
            <o:lock v:ext="edit"/>
            <v:textbox inset="0mm,4mm,0mm,2.3mm">
              <w:txbxContent>
                <w:p>
                  <w:pPr>
                    <w:pStyle w:val="3"/>
                    <w:rPr>
                      <w:rFonts w:hint="default" w:eastAsia="黑体"/>
                      <w:lang w:val="en-US" w:eastAsia="zh-CN"/>
                    </w:rPr>
                  </w:pPr>
                  <w:r>
                    <w:rPr>
                      <w:rFonts w:hint="eastAsia"/>
                      <w:lang w:val="en-US" w:eastAsia="zh-CN"/>
                    </w:rPr>
                    <w:t>获证组织须知</w:t>
                  </w:r>
                </w:p>
              </w:txbxContent>
            </v:textbox>
          </v:shape>
        </w:pict>
      </w:r>
    </w:p>
    <w:p>
      <w:pPr>
        <w:spacing w:line="360" w:lineRule="auto"/>
        <w:rPr>
          <w:rFonts w:hint="eastAsia" w:ascii="黑体" w:hAnsi="宋体" w:eastAsia="黑体"/>
          <w:szCs w:val="21"/>
        </w:rPr>
      </w:pPr>
    </w:p>
    <w:p>
      <w:pPr>
        <w:spacing w:line="360" w:lineRule="auto"/>
        <w:rPr>
          <w:rFonts w:hint="eastAsia" w:ascii="黑体" w:hAnsi="宋体" w:eastAsia="黑体"/>
          <w:szCs w:val="21"/>
        </w:rPr>
      </w:pPr>
    </w:p>
    <w:p>
      <w:pPr>
        <w:spacing w:line="360" w:lineRule="auto"/>
        <w:rPr>
          <w:rFonts w:hint="eastAsia" w:ascii="黑体" w:hAnsi="宋体" w:eastAsia="黑体"/>
          <w:szCs w:val="21"/>
        </w:rPr>
      </w:pPr>
    </w:p>
    <w:p>
      <w:pPr>
        <w:spacing w:line="360" w:lineRule="auto"/>
        <w:rPr>
          <w:rFonts w:hint="eastAsia" w:ascii="黑体" w:hAnsi="宋体" w:eastAsia="黑体"/>
          <w:szCs w:val="21"/>
        </w:rPr>
      </w:pPr>
    </w:p>
    <w:p>
      <w:pPr>
        <w:spacing w:line="360" w:lineRule="auto"/>
        <w:rPr>
          <w:rFonts w:hint="eastAsia" w:ascii="黑体" w:hAnsi="宋体" w:eastAsia="黑体"/>
          <w:szCs w:val="21"/>
        </w:rPr>
      </w:pPr>
    </w:p>
    <w:p>
      <w:pPr>
        <w:spacing w:line="360" w:lineRule="auto"/>
        <w:rPr>
          <w:rFonts w:hint="eastAsia" w:ascii="黑体" w:hAnsi="宋体" w:eastAsia="黑体"/>
          <w:szCs w:val="21"/>
        </w:rPr>
      </w:pPr>
    </w:p>
    <w:p>
      <w:pPr>
        <w:spacing w:line="360" w:lineRule="auto"/>
        <w:rPr>
          <w:rFonts w:hint="eastAsia" w:ascii="黑体" w:hAnsi="宋体" w:eastAsia="黑体"/>
          <w:szCs w:val="21"/>
        </w:rPr>
      </w:pPr>
    </w:p>
    <w:p>
      <w:pPr>
        <w:spacing w:line="360" w:lineRule="auto"/>
        <w:rPr>
          <w:rFonts w:hint="eastAsia" w:ascii="黑体" w:hAnsi="宋体" w:eastAsia="黑体"/>
          <w:szCs w:val="21"/>
        </w:rPr>
      </w:pPr>
    </w:p>
    <w:p>
      <w:pPr>
        <w:spacing w:line="360" w:lineRule="auto"/>
        <w:rPr>
          <w:rFonts w:hint="eastAsia" w:ascii="黑体" w:hAnsi="宋体" w:eastAsia="黑体"/>
          <w:szCs w:val="21"/>
        </w:rPr>
      </w:pPr>
      <w:r>
        <w:rPr>
          <w:rFonts w:hint="eastAsia" w:ascii="黑体" w:hAnsi="宋体" w:eastAsia="黑体"/>
          <w:szCs w:val="21"/>
        </w:rPr>
        <w:t xml:space="preserve">                                          </w:t>
      </w:r>
    </w:p>
    <w:tbl>
      <w:tblPr>
        <w:tblStyle w:val="8"/>
        <w:tblW w:w="0" w:type="auto"/>
        <w:jc w:val="center"/>
        <w:tblLayout w:type="autofit"/>
        <w:tblCellMar>
          <w:top w:w="0" w:type="dxa"/>
          <w:left w:w="108" w:type="dxa"/>
          <w:bottom w:w="0" w:type="dxa"/>
          <w:right w:w="108" w:type="dxa"/>
        </w:tblCellMar>
      </w:tblPr>
      <w:tblGrid>
        <w:gridCol w:w="1846"/>
        <w:gridCol w:w="2483"/>
      </w:tblGrid>
      <w:tr>
        <w:tblPrEx>
          <w:tblCellMar>
            <w:top w:w="0" w:type="dxa"/>
            <w:left w:w="108" w:type="dxa"/>
            <w:bottom w:w="0" w:type="dxa"/>
            <w:right w:w="108" w:type="dxa"/>
          </w:tblCellMar>
        </w:tblPrEx>
        <w:trPr>
          <w:trHeight w:val="135" w:hRule="atLeast"/>
          <w:jc w:val="center"/>
        </w:trPr>
        <w:tc>
          <w:tcPr>
            <w:tcW w:w="1846" w:type="dxa"/>
            <w:noWrap w:val="0"/>
            <w:vAlign w:val="center"/>
          </w:tcPr>
          <w:p>
            <w:pPr>
              <w:rPr>
                <w:rFonts w:ascii="Arial" w:hAnsi="Arial" w:eastAsia="隶书" w:cs="Arial"/>
                <w:sz w:val="30"/>
              </w:rPr>
            </w:pPr>
            <w:r>
              <w:rPr>
                <w:rFonts w:hint="eastAsia" w:ascii="Arial" w:hAnsi="Arial" w:eastAsia="隶书" w:cs="Arial"/>
                <w:sz w:val="30"/>
              </w:rPr>
              <w:t>版    本：</w:t>
            </w:r>
          </w:p>
        </w:tc>
        <w:tc>
          <w:tcPr>
            <w:tcW w:w="2483" w:type="dxa"/>
            <w:noWrap w:val="0"/>
            <w:vAlign w:val="center"/>
          </w:tcPr>
          <w:p>
            <w:pPr>
              <w:rPr>
                <w:rFonts w:hint="eastAsia"/>
                <w:sz w:val="30"/>
              </w:rPr>
            </w:pPr>
            <w:r>
              <w:rPr>
                <w:rFonts w:hint="eastAsia"/>
                <w:sz w:val="30"/>
                <w:lang w:val="en-US" w:eastAsia="zh-CN"/>
              </w:rPr>
              <w:t>A</w:t>
            </w:r>
            <w:r>
              <w:rPr>
                <w:rFonts w:hint="eastAsia"/>
                <w:sz w:val="30"/>
              </w:rPr>
              <w:t>/01</w:t>
            </w:r>
          </w:p>
        </w:tc>
      </w:tr>
      <w:tr>
        <w:tblPrEx>
          <w:tblCellMar>
            <w:top w:w="0" w:type="dxa"/>
            <w:left w:w="108" w:type="dxa"/>
            <w:bottom w:w="0" w:type="dxa"/>
            <w:right w:w="108" w:type="dxa"/>
          </w:tblCellMar>
        </w:tblPrEx>
        <w:trPr>
          <w:trHeight w:val="135" w:hRule="atLeast"/>
          <w:jc w:val="center"/>
        </w:trPr>
        <w:tc>
          <w:tcPr>
            <w:tcW w:w="1846" w:type="dxa"/>
            <w:noWrap w:val="0"/>
            <w:vAlign w:val="center"/>
          </w:tcPr>
          <w:p>
            <w:pPr>
              <w:rPr>
                <w:rFonts w:ascii="Arial" w:hAnsi="Arial" w:eastAsia="隶书" w:cs="Arial"/>
                <w:color w:val="auto"/>
                <w:sz w:val="30"/>
              </w:rPr>
            </w:pPr>
            <w:r>
              <w:rPr>
                <w:rFonts w:ascii="Arial" w:hAnsi="Arial" w:eastAsia="隶书" w:cs="Arial"/>
                <w:color w:val="auto"/>
                <w:sz w:val="30"/>
              </w:rPr>
              <w:t>文件编号：</w:t>
            </w:r>
          </w:p>
        </w:tc>
        <w:tc>
          <w:tcPr>
            <w:tcW w:w="2483" w:type="dxa"/>
            <w:noWrap w:val="0"/>
            <w:vAlign w:val="center"/>
          </w:tcPr>
          <w:p>
            <w:pPr>
              <w:rPr>
                <w:rFonts w:hint="default" w:eastAsia="仿宋_GB2312"/>
                <w:color w:val="auto"/>
                <w:sz w:val="30"/>
                <w:lang w:val="en-US" w:eastAsia="zh-CN"/>
              </w:rPr>
            </w:pPr>
            <w:r>
              <w:rPr>
                <w:rFonts w:ascii="Times New Roman" w:hAnsi="Times New Roman" w:eastAsia="仿宋_GB2312" w:cs="Times New Roman"/>
                <w:sz w:val="28"/>
                <w:szCs w:val="15"/>
              </w:rPr>
              <w:t>CHRZ-T-WI-0</w:t>
            </w:r>
            <w:r>
              <w:rPr>
                <w:rFonts w:hint="eastAsia" w:ascii="Times New Roman" w:hAnsi="Times New Roman" w:eastAsia="仿宋_GB2312" w:cs="Times New Roman"/>
                <w:sz w:val="28"/>
                <w:szCs w:val="15"/>
                <w:lang w:val="en-US" w:eastAsia="zh-CN"/>
              </w:rPr>
              <w:t>10</w:t>
            </w:r>
          </w:p>
        </w:tc>
      </w:tr>
      <w:tr>
        <w:tblPrEx>
          <w:tblCellMar>
            <w:top w:w="0" w:type="dxa"/>
            <w:left w:w="108" w:type="dxa"/>
            <w:bottom w:w="0" w:type="dxa"/>
            <w:right w:w="108" w:type="dxa"/>
          </w:tblCellMar>
        </w:tblPrEx>
        <w:trPr>
          <w:trHeight w:val="135" w:hRule="atLeast"/>
          <w:jc w:val="center"/>
        </w:trPr>
        <w:tc>
          <w:tcPr>
            <w:tcW w:w="1846" w:type="dxa"/>
            <w:noWrap w:val="0"/>
            <w:vAlign w:val="center"/>
          </w:tcPr>
          <w:p>
            <w:pPr>
              <w:rPr>
                <w:rFonts w:ascii="Arial" w:hAnsi="Arial" w:eastAsia="隶书" w:cs="Arial"/>
                <w:sz w:val="30"/>
              </w:rPr>
            </w:pPr>
            <w:r>
              <w:rPr>
                <w:rFonts w:ascii="Arial" w:hAnsi="Arial" w:eastAsia="隶书" w:cs="Arial"/>
                <w:sz w:val="30"/>
              </w:rPr>
              <w:t>发布日期：</w:t>
            </w:r>
          </w:p>
        </w:tc>
        <w:tc>
          <w:tcPr>
            <w:tcW w:w="2483" w:type="dxa"/>
            <w:noWrap w:val="0"/>
            <w:vAlign w:val="center"/>
          </w:tcPr>
          <w:p>
            <w:pPr>
              <w:rPr>
                <w:rFonts w:hint="eastAsia" w:eastAsia="仿宋_GB2312"/>
                <w:sz w:val="28"/>
              </w:rPr>
            </w:pPr>
            <w:r>
              <w:rPr>
                <w:rFonts w:hint="eastAsia" w:eastAsia="仿宋_GB2312"/>
                <w:sz w:val="28"/>
                <w:szCs w:val="15"/>
              </w:rPr>
              <w:t>20</w:t>
            </w:r>
            <w:r>
              <w:rPr>
                <w:rFonts w:hint="eastAsia" w:eastAsia="仿宋_GB2312"/>
                <w:sz w:val="28"/>
                <w:szCs w:val="15"/>
                <w:lang w:val="en-US" w:eastAsia="zh-CN"/>
              </w:rPr>
              <w:t>22</w:t>
            </w:r>
            <w:r>
              <w:rPr>
                <w:rFonts w:eastAsia="仿宋_GB2312"/>
                <w:sz w:val="28"/>
                <w:szCs w:val="15"/>
              </w:rPr>
              <w:t>年</w:t>
            </w:r>
            <w:r>
              <w:rPr>
                <w:rFonts w:hint="eastAsia" w:eastAsia="仿宋_GB2312"/>
                <w:sz w:val="28"/>
                <w:szCs w:val="15"/>
                <w:lang w:val="en-US" w:eastAsia="zh-CN"/>
              </w:rPr>
              <w:t>9</w:t>
            </w:r>
            <w:r>
              <w:rPr>
                <w:rFonts w:eastAsia="仿宋_GB2312"/>
                <w:sz w:val="28"/>
                <w:szCs w:val="15"/>
              </w:rPr>
              <w:t>月</w:t>
            </w:r>
            <w:r>
              <w:rPr>
                <w:rFonts w:hint="eastAsia" w:eastAsia="仿宋_GB2312"/>
                <w:sz w:val="28"/>
                <w:szCs w:val="15"/>
              </w:rPr>
              <w:t>2</w:t>
            </w:r>
            <w:r>
              <w:rPr>
                <w:rFonts w:hint="eastAsia" w:eastAsia="仿宋_GB2312"/>
                <w:sz w:val="28"/>
                <w:szCs w:val="15"/>
                <w:lang w:val="en-US" w:eastAsia="zh-CN"/>
              </w:rPr>
              <w:t>2</w:t>
            </w:r>
            <w:r>
              <w:rPr>
                <w:rFonts w:eastAsia="仿宋_GB2312"/>
                <w:sz w:val="28"/>
                <w:szCs w:val="15"/>
              </w:rPr>
              <w:t>日</w:t>
            </w:r>
          </w:p>
        </w:tc>
      </w:tr>
      <w:tr>
        <w:tblPrEx>
          <w:tblCellMar>
            <w:top w:w="0" w:type="dxa"/>
            <w:left w:w="108" w:type="dxa"/>
            <w:bottom w:w="0" w:type="dxa"/>
            <w:right w:w="108" w:type="dxa"/>
          </w:tblCellMar>
        </w:tblPrEx>
        <w:trPr>
          <w:trHeight w:val="135" w:hRule="atLeast"/>
          <w:jc w:val="center"/>
        </w:trPr>
        <w:tc>
          <w:tcPr>
            <w:tcW w:w="1846" w:type="dxa"/>
            <w:noWrap w:val="0"/>
            <w:vAlign w:val="center"/>
          </w:tcPr>
          <w:p>
            <w:pPr>
              <w:rPr>
                <w:rFonts w:hint="eastAsia" w:ascii="Arial" w:hAnsi="Arial" w:eastAsia="隶书" w:cs="Arial"/>
                <w:sz w:val="30"/>
              </w:rPr>
            </w:pPr>
            <w:r>
              <w:rPr>
                <w:rFonts w:hint="eastAsia" w:ascii="Arial" w:hAnsi="Arial" w:eastAsia="隶书" w:cs="Arial"/>
                <w:sz w:val="30"/>
              </w:rPr>
              <w:t>修订日期：</w:t>
            </w:r>
          </w:p>
        </w:tc>
        <w:tc>
          <w:tcPr>
            <w:tcW w:w="2483" w:type="dxa"/>
            <w:noWrap w:val="0"/>
            <w:vAlign w:val="center"/>
          </w:tcPr>
          <w:p>
            <w:pPr>
              <w:rPr>
                <w:rFonts w:hint="eastAsia" w:eastAsia="仿宋_GB2312"/>
                <w:sz w:val="28"/>
                <w:szCs w:val="15"/>
              </w:rPr>
            </w:pPr>
            <w:r>
              <w:rPr>
                <w:rFonts w:hint="eastAsia" w:eastAsia="仿宋_GB2312"/>
                <w:sz w:val="28"/>
                <w:szCs w:val="15"/>
              </w:rPr>
              <w:t>20</w:t>
            </w:r>
            <w:r>
              <w:rPr>
                <w:rFonts w:hint="eastAsia" w:eastAsia="仿宋_GB2312"/>
                <w:sz w:val="28"/>
                <w:szCs w:val="15"/>
                <w:lang w:val="en-US" w:eastAsia="zh-CN"/>
              </w:rPr>
              <w:t>22</w:t>
            </w:r>
            <w:r>
              <w:rPr>
                <w:rFonts w:eastAsia="仿宋_GB2312"/>
                <w:sz w:val="28"/>
                <w:szCs w:val="15"/>
              </w:rPr>
              <w:t>年</w:t>
            </w:r>
            <w:r>
              <w:rPr>
                <w:rFonts w:hint="eastAsia" w:eastAsia="仿宋_GB2312"/>
                <w:sz w:val="28"/>
                <w:szCs w:val="15"/>
                <w:lang w:val="en-US" w:eastAsia="zh-CN"/>
              </w:rPr>
              <w:t>9</w:t>
            </w:r>
            <w:r>
              <w:rPr>
                <w:rFonts w:eastAsia="仿宋_GB2312"/>
                <w:sz w:val="28"/>
                <w:szCs w:val="15"/>
              </w:rPr>
              <w:t>月</w:t>
            </w:r>
            <w:r>
              <w:rPr>
                <w:rFonts w:hint="eastAsia" w:eastAsia="仿宋_GB2312"/>
                <w:sz w:val="28"/>
                <w:szCs w:val="15"/>
              </w:rPr>
              <w:t>2</w:t>
            </w:r>
            <w:r>
              <w:rPr>
                <w:rFonts w:hint="eastAsia" w:eastAsia="仿宋_GB2312"/>
                <w:sz w:val="28"/>
                <w:szCs w:val="15"/>
                <w:lang w:val="en-US" w:eastAsia="zh-CN"/>
              </w:rPr>
              <w:t>2</w:t>
            </w:r>
            <w:r>
              <w:rPr>
                <w:rFonts w:eastAsia="仿宋_GB2312"/>
                <w:sz w:val="28"/>
                <w:szCs w:val="15"/>
              </w:rPr>
              <w:t>日</w:t>
            </w:r>
          </w:p>
        </w:tc>
      </w:tr>
      <w:tr>
        <w:tblPrEx>
          <w:tblCellMar>
            <w:top w:w="0" w:type="dxa"/>
            <w:left w:w="108" w:type="dxa"/>
            <w:bottom w:w="0" w:type="dxa"/>
            <w:right w:w="108" w:type="dxa"/>
          </w:tblCellMar>
        </w:tblPrEx>
        <w:trPr>
          <w:trHeight w:val="135" w:hRule="atLeast"/>
          <w:jc w:val="center"/>
        </w:trPr>
        <w:tc>
          <w:tcPr>
            <w:tcW w:w="1846" w:type="dxa"/>
            <w:noWrap w:val="0"/>
            <w:vAlign w:val="center"/>
          </w:tcPr>
          <w:p>
            <w:pPr>
              <w:rPr>
                <w:rFonts w:ascii="Arial" w:hAnsi="Arial" w:eastAsia="隶书" w:cs="Arial"/>
                <w:sz w:val="30"/>
              </w:rPr>
            </w:pPr>
            <w:r>
              <w:rPr>
                <w:rFonts w:ascii="Arial" w:hAnsi="Arial" w:eastAsia="隶书" w:cs="Arial"/>
                <w:sz w:val="30"/>
              </w:rPr>
              <w:t>实施日期：</w:t>
            </w:r>
          </w:p>
        </w:tc>
        <w:tc>
          <w:tcPr>
            <w:tcW w:w="2483" w:type="dxa"/>
            <w:noWrap w:val="0"/>
            <w:vAlign w:val="center"/>
          </w:tcPr>
          <w:p>
            <w:pPr>
              <w:rPr>
                <w:rFonts w:hint="eastAsia" w:eastAsia="仿宋_GB2312"/>
                <w:sz w:val="28"/>
              </w:rPr>
            </w:pPr>
            <w:r>
              <w:rPr>
                <w:rFonts w:hint="eastAsia" w:eastAsia="仿宋_GB2312"/>
                <w:sz w:val="28"/>
                <w:szCs w:val="15"/>
              </w:rPr>
              <w:t>20</w:t>
            </w:r>
            <w:r>
              <w:rPr>
                <w:rFonts w:hint="eastAsia" w:eastAsia="仿宋_GB2312"/>
                <w:sz w:val="28"/>
                <w:szCs w:val="15"/>
                <w:lang w:val="en-US" w:eastAsia="zh-CN"/>
              </w:rPr>
              <w:t>22</w:t>
            </w:r>
            <w:r>
              <w:rPr>
                <w:rFonts w:eastAsia="仿宋_GB2312"/>
                <w:sz w:val="28"/>
                <w:szCs w:val="15"/>
              </w:rPr>
              <w:t>年</w:t>
            </w:r>
            <w:r>
              <w:rPr>
                <w:rFonts w:hint="eastAsia" w:eastAsia="仿宋_GB2312"/>
                <w:sz w:val="28"/>
                <w:szCs w:val="15"/>
                <w:lang w:val="en-US" w:eastAsia="zh-CN"/>
              </w:rPr>
              <w:t>9</w:t>
            </w:r>
            <w:r>
              <w:rPr>
                <w:rFonts w:eastAsia="仿宋_GB2312"/>
                <w:sz w:val="28"/>
                <w:szCs w:val="15"/>
              </w:rPr>
              <w:t>月</w:t>
            </w:r>
            <w:r>
              <w:rPr>
                <w:rFonts w:hint="eastAsia" w:eastAsia="仿宋_GB2312"/>
                <w:sz w:val="28"/>
                <w:szCs w:val="15"/>
              </w:rPr>
              <w:t>2</w:t>
            </w:r>
            <w:r>
              <w:rPr>
                <w:rFonts w:hint="eastAsia" w:eastAsia="仿宋_GB2312"/>
                <w:sz w:val="28"/>
                <w:szCs w:val="15"/>
                <w:lang w:val="en-US" w:eastAsia="zh-CN"/>
              </w:rPr>
              <w:t>2</w:t>
            </w:r>
            <w:r>
              <w:rPr>
                <w:rFonts w:eastAsia="仿宋_GB2312"/>
                <w:sz w:val="28"/>
                <w:szCs w:val="15"/>
              </w:rPr>
              <w:t>日</w:t>
            </w:r>
          </w:p>
        </w:tc>
      </w:tr>
    </w:tbl>
    <w:p>
      <w:pPr>
        <w:spacing w:line="360" w:lineRule="auto"/>
        <w:ind w:firstLine="420"/>
        <w:rPr>
          <w:rFonts w:hint="eastAsia"/>
          <w:b/>
          <w:bCs/>
          <w:sz w:val="30"/>
        </w:rPr>
      </w:pPr>
    </w:p>
    <w:p>
      <w:pPr>
        <w:ind w:firstLine="600" w:firstLineChars="200"/>
        <w:jc w:val="center"/>
        <w:rPr>
          <w:rFonts w:hint="eastAsia"/>
          <w:b/>
          <w:bCs/>
          <w:sz w:val="30"/>
        </w:rPr>
      </w:pPr>
    </w:p>
    <w:p>
      <w:pPr>
        <w:ind w:firstLine="600" w:firstLineChars="200"/>
        <w:jc w:val="center"/>
        <w:rPr>
          <w:rFonts w:hint="eastAsia"/>
          <w:b/>
          <w:bCs/>
          <w:sz w:val="30"/>
        </w:rPr>
      </w:pPr>
    </w:p>
    <w:p>
      <w:pPr>
        <w:ind w:firstLine="600" w:firstLineChars="200"/>
        <w:jc w:val="center"/>
        <w:rPr>
          <w:rFonts w:hint="eastAsia"/>
          <w:b/>
          <w:bCs/>
          <w:sz w:val="30"/>
        </w:rPr>
      </w:pPr>
    </w:p>
    <w:p>
      <w:pPr>
        <w:ind w:firstLine="600" w:firstLineChars="200"/>
        <w:jc w:val="center"/>
        <w:rPr>
          <w:rFonts w:hint="eastAsia"/>
          <w:b/>
          <w:bCs/>
          <w:sz w:val="30"/>
        </w:rPr>
      </w:pPr>
    </w:p>
    <w:p>
      <w:pPr>
        <w:ind w:firstLine="600" w:firstLineChars="200"/>
        <w:jc w:val="center"/>
        <w:rPr>
          <w:rFonts w:hint="eastAsia"/>
          <w:b/>
          <w:bCs/>
          <w:sz w:val="30"/>
        </w:rPr>
      </w:pPr>
    </w:p>
    <w:p>
      <w:pPr>
        <w:rPr>
          <w:rFonts w:hint="eastAsia"/>
          <w:b/>
          <w:bCs/>
          <w:sz w:val="30"/>
        </w:rPr>
      </w:pPr>
    </w:p>
    <w:p>
      <w:pPr>
        <w:spacing w:after="0"/>
        <w:rPr>
          <w:rFonts w:ascii="Times New Roman"/>
          <w:sz w:val="20"/>
        </w:rPr>
        <w:sectPr>
          <w:type w:val="continuous"/>
          <w:pgSz w:w="11910" w:h="16840"/>
          <w:pgMar w:top="1600" w:right="1134" w:bottom="1134" w:left="1134" w:header="720" w:footer="720" w:gutter="0"/>
          <w:cols w:space="720" w:num="1"/>
        </w:sectPr>
      </w:pPr>
    </w:p>
    <w:p>
      <w:pPr>
        <w:pStyle w:val="4"/>
        <w:ind w:left="0" w:firstLine="0"/>
        <w:rPr>
          <w:sz w:val="20"/>
        </w:rPr>
      </w:pPr>
    </w:p>
    <w:p>
      <w:pPr>
        <w:pStyle w:val="4"/>
        <w:ind w:left="0" w:firstLine="0"/>
        <w:rPr>
          <w:sz w:val="20"/>
        </w:rPr>
      </w:pPr>
    </w:p>
    <w:p>
      <w:pPr>
        <w:pStyle w:val="4"/>
        <w:spacing w:before="11"/>
        <w:ind w:left="0" w:firstLine="0"/>
        <w:rPr>
          <w:rFonts w:hint="eastAsia" w:asciiTheme="majorEastAsia" w:hAnsiTheme="majorEastAsia" w:eastAsiaTheme="majorEastAsia" w:cstheme="majorEastAsia"/>
        </w:rPr>
      </w:pPr>
    </w:p>
    <w:p>
      <w:pPr>
        <w:pStyle w:val="4"/>
        <w:ind w:left="0" w:firstLine="0"/>
        <w:rPr>
          <w:rFonts w:hint="eastAsia" w:asciiTheme="majorEastAsia" w:hAnsiTheme="majorEastAsia" w:eastAsiaTheme="majorEastAsia" w:cstheme="majorEastAsia"/>
          <w:sz w:val="32"/>
        </w:rPr>
      </w:pPr>
    </w:p>
    <w:p>
      <w:pPr>
        <w:pStyle w:val="4"/>
        <w:ind w:left="0" w:firstLine="0"/>
        <w:rPr>
          <w:rFonts w:hint="eastAsia" w:asciiTheme="majorEastAsia" w:hAnsiTheme="majorEastAsia" w:eastAsiaTheme="majorEastAsia" w:cstheme="majorEastAsia"/>
          <w:sz w:val="32"/>
        </w:rPr>
      </w:pPr>
    </w:p>
    <w:p>
      <w:pPr>
        <w:pStyle w:val="4"/>
        <w:spacing w:before="14"/>
        <w:ind w:left="0" w:firstLine="0"/>
        <w:rPr>
          <w:rFonts w:hint="eastAsia" w:asciiTheme="majorEastAsia" w:hAnsiTheme="majorEastAsia" w:eastAsiaTheme="majorEastAsia" w:cstheme="majorEastAsia"/>
          <w:sz w:val="43"/>
        </w:rPr>
      </w:pPr>
    </w:p>
    <w:p>
      <w:pPr>
        <w:pStyle w:val="2"/>
        <w:spacing w:line="579" w:lineRule="exact"/>
        <w:rPr>
          <w:rFonts w:hint="eastAsia" w:asciiTheme="majorEastAsia" w:hAnsiTheme="majorEastAsia" w:eastAsiaTheme="majorEastAsia" w:cstheme="majorEastAsia"/>
        </w:rPr>
      </w:pPr>
      <w:bookmarkStart w:id="0" w:name="_bookmark0"/>
      <w:bookmarkEnd w:id="0"/>
      <w:r>
        <w:rPr>
          <w:rFonts w:hint="eastAsia" w:asciiTheme="majorEastAsia" w:hAnsiTheme="majorEastAsia" w:eastAsiaTheme="majorEastAsia" w:cstheme="majorEastAsia"/>
        </w:rPr>
        <w:t>目 录</w:t>
      </w:r>
    </w:p>
    <w:sdt>
      <w:sdtPr>
        <w:rPr>
          <w:rFonts w:hint="eastAsia" w:asciiTheme="majorEastAsia" w:hAnsiTheme="majorEastAsia" w:eastAsiaTheme="majorEastAsia" w:cstheme="majorEastAsia"/>
        </w:rPr>
        <w:id w:val="2"/>
        <w:docPartObj>
          <w:docPartGallery w:val="Table of Contents"/>
          <w:docPartUnique/>
        </w:docPartObj>
      </w:sdtPr>
      <w:sdtEndPr>
        <w:rPr>
          <w:rFonts w:hint="eastAsia" w:asciiTheme="majorEastAsia" w:hAnsiTheme="majorEastAsia" w:eastAsiaTheme="majorEastAsia" w:cstheme="majorEastAsia"/>
        </w:rPr>
      </w:sdtEndPr>
      <w:sdtContent>
        <w:p>
          <w:pPr>
            <w:pStyle w:val="7"/>
            <w:tabs>
              <w:tab w:val="right" w:leader="dot" w:pos="10200"/>
            </w:tabs>
            <w:spacing w:line="364" w:lineRule="exact"/>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"_bookmark0"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目</w:t>
          </w:r>
          <w:r>
            <w:rPr>
              <w:rFonts w:hint="eastAsia" w:asciiTheme="majorEastAsia" w:hAnsiTheme="majorEastAsia" w:eastAsiaTheme="majorEastAsia" w:cstheme="majorEastAsia"/>
              <w:spacing w:val="43"/>
            </w:rPr>
            <w:t xml:space="preserve"> </w:t>
          </w:r>
          <w:r>
            <w:rPr>
              <w:rFonts w:hint="eastAsia" w:asciiTheme="majorEastAsia" w:hAnsiTheme="majorEastAsia" w:eastAsiaTheme="majorEastAsia" w:cstheme="majorEastAsia"/>
            </w:rPr>
            <w:t>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p>
        <w:p>
          <w:pPr>
            <w:pStyle w:val="7"/>
            <w:tabs>
              <w:tab w:val="right" w:leader="dot" w:pos="10200"/>
            </w:tabs>
            <w:spacing w:line="361" w:lineRule="exact"/>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一、关于证书有效期</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4</w:t>
          </w:r>
          <w:r>
            <w:rPr>
              <w:rFonts w:hint="eastAsia" w:asciiTheme="majorEastAsia" w:hAnsiTheme="majorEastAsia" w:eastAsiaTheme="majorEastAsia" w:cstheme="majorEastAsia"/>
            </w:rPr>
            <w:fldChar w:fldCharType="end"/>
          </w:r>
        </w:p>
        <w:p>
          <w:pPr>
            <w:pStyle w:val="7"/>
            <w:tabs>
              <w:tab w:val="right" w:leader="dot" w:pos="10200"/>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二、证书编号说明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4</w:t>
          </w:r>
          <w:r>
            <w:rPr>
              <w:rFonts w:hint="eastAsia" w:asciiTheme="majorEastAsia" w:hAnsiTheme="majorEastAsia" w:eastAsiaTheme="majorEastAsia" w:cstheme="majorEastAsia"/>
            </w:rPr>
            <w:fldChar w:fldCharType="end"/>
          </w:r>
        </w:p>
        <w:p>
          <w:pPr>
            <w:pStyle w:val="7"/>
            <w:tabs>
              <w:tab w:val="right" w:leader="dot" w:pos="10200"/>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三、监督审核、见证评审和特殊审核的要求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5</w:t>
          </w:r>
          <w:r>
            <w:rPr>
              <w:rFonts w:hint="eastAsia" w:asciiTheme="majorEastAsia" w:hAnsiTheme="majorEastAsia" w:eastAsiaTheme="majorEastAsia" w:cstheme="majorEastAsia"/>
            </w:rPr>
            <w:fldChar w:fldCharType="end"/>
          </w:r>
        </w:p>
        <w:p>
          <w:pPr>
            <w:pStyle w:val="7"/>
            <w:tabs>
              <w:tab w:val="right" w:leader="dot" w:pos="10200"/>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四、获证组织信息通报制度</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6</w:t>
          </w:r>
          <w:r>
            <w:rPr>
              <w:rFonts w:hint="eastAsia" w:asciiTheme="majorEastAsia" w:hAnsiTheme="majorEastAsia" w:eastAsiaTheme="majorEastAsia" w:cstheme="majorEastAsia"/>
            </w:rPr>
            <w:fldChar w:fldCharType="end"/>
          </w:r>
        </w:p>
        <w:p>
          <w:pPr>
            <w:pStyle w:val="7"/>
            <w:tabs>
              <w:tab w:val="right" w:leader="dot" w:pos="10200"/>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五、保持认证注册的条件</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7</w:t>
          </w:r>
          <w:r>
            <w:rPr>
              <w:rFonts w:hint="eastAsia" w:asciiTheme="majorEastAsia" w:hAnsiTheme="majorEastAsia" w:eastAsiaTheme="majorEastAsia" w:cstheme="majorEastAsia"/>
            </w:rPr>
            <w:fldChar w:fldCharType="end"/>
          </w:r>
        </w:p>
        <w:p>
          <w:pPr>
            <w:pStyle w:val="7"/>
            <w:tabs>
              <w:tab w:val="right" w:leader="dot" w:pos="10200"/>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六、投诉／申诉／争议</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7</w:t>
          </w:r>
          <w:r>
            <w:rPr>
              <w:rFonts w:hint="eastAsia" w:asciiTheme="majorEastAsia" w:hAnsiTheme="majorEastAsia" w:eastAsiaTheme="majorEastAsia" w:cstheme="majorEastAsia"/>
            </w:rPr>
            <w:fldChar w:fldCharType="end"/>
          </w:r>
        </w:p>
        <w:p>
          <w:pPr>
            <w:pStyle w:val="7"/>
            <w:tabs>
              <w:tab w:val="right" w:leader="dot" w:pos="10200"/>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七、认证证书及认证标志的使用方式说明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10</w:t>
          </w:r>
          <w:r>
            <w:rPr>
              <w:rFonts w:hint="eastAsia" w:asciiTheme="majorEastAsia" w:hAnsiTheme="majorEastAsia" w:eastAsiaTheme="majorEastAsia" w:cstheme="majorEastAsia"/>
            </w:rPr>
            <w:fldChar w:fldCharType="end"/>
          </w:r>
        </w:p>
        <w:p>
          <w:pPr>
            <w:pStyle w:val="7"/>
            <w:tabs>
              <w:tab w:val="right" w:leader="dot" w:pos="1020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八、再认证的申请</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11</w:t>
          </w:r>
          <w:r>
            <w:rPr>
              <w:rFonts w:hint="eastAsia" w:asciiTheme="majorEastAsia" w:hAnsiTheme="majorEastAsia" w:eastAsiaTheme="majorEastAsia" w:cstheme="majorEastAsia"/>
            </w:rPr>
            <w:fldChar w:fldCharType="end"/>
          </w:r>
        </w:p>
        <w:p>
          <w:pPr>
            <w:pStyle w:val="7"/>
            <w:tabs>
              <w:tab w:val="right" w:leader="dot" w:pos="10202"/>
            </w:tabs>
            <w:spacing w:line="361" w:lineRule="exact"/>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"_bookmark9"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九、非正常情况下的处置</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11</w:t>
          </w:r>
          <w:r>
            <w:rPr>
              <w:rFonts w:hint="eastAsia" w:asciiTheme="majorEastAsia" w:hAnsiTheme="majorEastAsia" w:eastAsiaTheme="majorEastAsia" w:cstheme="majorEastAsia"/>
            </w:rPr>
            <w:fldChar w:fldCharType="end"/>
          </w:r>
        </w:p>
        <w:p>
          <w:pPr>
            <w:pStyle w:val="7"/>
            <w:tabs>
              <w:tab w:val="right" w:leader="dot" w:pos="10200"/>
            </w:tabs>
            <w:spacing w:line="361" w:lineRule="exact"/>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"_bookmark10"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十、禁止转换机构认证有关政策的说明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13</w:t>
          </w:r>
          <w:r>
            <w:rPr>
              <w:rFonts w:hint="eastAsia" w:asciiTheme="majorEastAsia" w:hAnsiTheme="majorEastAsia" w:eastAsiaTheme="majorEastAsia" w:cstheme="majorEastAsia"/>
            </w:rPr>
            <w:fldChar w:fldCharType="end"/>
          </w:r>
        </w:p>
        <w:p>
          <w:pPr>
            <w:pStyle w:val="7"/>
            <w:tabs>
              <w:tab w:val="right" w:leader="dot" w:pos="10200"/>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"_bookmark11"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十一、认证要求的变更的处理：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13</w:t>
          </w:r>
          <w:r>
            <w:rPr>
              <w:rFonts w:hint="eastAsia" w:asciiTheme="majorEastAsia" w:hAnsiTheme="majorEastAsia" w:eastAsiaTheme="majorEastAsia" w:cstheme="majorEastAsia"/>
            </w:rPr>
            <w:fldChar w:fldCharType="end"/>
          </w:r>
        </w:p>
        <w:p>
          <w:pPr>
            <w:pStyle w:val="7"/>
            <w:tabs>
              <w:tab w:val="right" w:leader="dot" w:pos="10200"/>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十二、获证组织的权利与义务</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14</w:t>
          </w:r>
          <w:r>
            <w:rPr>
              <w:rFonts w:hint="eastAsia" w:asciiTheme="majorEastAsia" w:hAnsiTheme="majorEastAsia" w:eastAsiaTheme="majorEastAsia" w:cstheme="majorEastAsia"/>
            </w:rPr>
            <w:fldChar w:fldCharType="end"/>
          </w:r>
        </w:p>
        <w:p>
          <w:pPr>
            <w:pStyle w:val="7"/>
            <w:tabs>
              <w:tab w:val="right" w:leader="dot" w:pos="10200"/>
            </w:tabs>
            <w:spacing w:line="374" w:lineRule="exact"/>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"_bookmark13"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十三、其他信息：</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t>14</w:t>
          </w:r>
          <w:r>
            <w:rPr>
              <w:rFonts w:hint="eastAsia" w:asciiTheme="majorEastAsia" w:hAnsiTheme="majorEastAsia" w:eastAsiaTheme="majorEastAsia" w:cstheme="majorEastAsia"/>
            </w:rPr>
            <w:fldChar w:fldCharType="end"/>
          </w:r>
        </w:p>
      </w:sdtContent>
    </w:sdt>
    <w:p>
      <w:pPr>
        <w:spacing w:after="0" w:line="374" w:lineRule="exact"/>
        <w:rPr>
          <w:rFonts w:hint="eastAsia" w:asciiTheme="majorEastAsia" w:hAnsiTheme="majorEastAsia" w:eastAsiaTheme="majorEastAsia" w:cstheme="majorEastAsia"/>
        </w:rPr>
        <w:sectPr>
          <w:pgSz w:w="11910" w:h="16840"/>
          <w:pgMar w:top="1340" w:right="660" w:bottom="280" w:left="800" w:header="720" w:footer="720" w:gutter="0"/>
          <w:cols w:space="720" w:num="1"/>
        </w:sectPr>
      </w:pPr>
    </w:p>
    <w:p>
      <w:pPr>
        <w:spacing w:before="21"/>
        <w:ind w:left="527" w:right="0" w:firstLine="0"/>
        <w:jc w:val="left"/>
        <w:rPr>
          <w:rFonts w:hint="eastAsia" w:asciiTheme="majorEastAsia" w:hAnsiTheme="majorEastAsia" w:eastAsiaTheme="majorEastAsia" w:cstheme="majorEastAsia"/>
          <w:b/>
          <w:sz w:val="21"/>
        </w:rPr>
      </w:pPr>
      <w:bookmarkStart w:id="1" w:name="一、关于证书有效期"/>
      <w:bookmarkEnd w:id="1"/>
      <w:bookmarkStart w:id="2" w:name="_bookmark1"/>
      <w:bookmarkEnd w:id="2"/>
      <w:r>
        <w:rPr>
          <w:rFonts w:hint="eastAsia" w:asciiTheme="majorEastAsia" w:hAnsiTheme="majorEastAsia" w:eastAsiaTheme="majorEastAsia" w:cstheme="majorEastAsia"/>
          <w:b/>
          <w:sz w:val="21"/>
        </w:rPr>
        <w:t>一、关于证书有效期</w:t>
      </w:r>
    </w:p>
    <w:p>
      <w:pPr>
        <w:pStyle w:val="4"/>
        <w:spacing w:before="11" w:line="249" w:lineRule="auto"/>
        <w:ind w:right="245" w:firstLine="43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5"/>
        </w:rPr>
        <w:t>根据《管理体系认证实施规则》</w:t>
      </w:r>
      <w:r>
        <w:rPr>
          <w:rFonts w:hint="eastAsia" w:asciiTheme="majorEastAsia" w:hAnsiTheme="majorEastAsia" w:eastAsiaTheme="majorEastAsia" w:cstheme="majorEastAsia"/>
          <w:w w:val="95"/>
        </w:rPr>
        <w:t>、《合格评定 管理体系审核与认证机构要求》《管理体</w:t>
      </w:r>
      <w:r>
        <w:rPr>
          <w:rFonts w:hint="eastAsia" w:asciiTheme="majorEastAsia" w:hAnsiTheme="majorEastAsia" w:eastAsiaTheme="majorEastAsia" w:cstheme="majorEastAsia"/>
        </w:rPr>
        <w:t>系认证机构要求》等有关认证认可的规定，对于经过</w:t>
      </w:r>
      <w:r>
        <w:rPr>
          <w:rFonts w:hint="eastAsia" w:asciiTheme="majorEastAsia" w:hAnsiTheme="majorEastAsia" w:eastAsiaTheme="majorEastAsia" w:cstheme="majorEastAsia"/>
          <w:lang w:eastAsia="zh-CN"/>
        </w:rPr>
        <w:t>春晖国际认证有限公司</w:t>
      </w:r>
      <w:r>
        <w:rPr>
          <w:rFonts w:hint="eastAsia" w:asciiTheme="majorEastAsia" w:hAnsiTheme="majorEastAsia" w:eastAsiaTheme="majorEastAsia" w:cstheme="majorEastAsia"/>
        </w:rPr>
        <w:t>初次认证合格的组织，</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授予有效期为三年的认</w:t>
      </w:r>
      <w:r>
        <w:rPr>
          <w:rFonts w:hint="eastAsia" w:asciiTheme="majorEastAsia" w:hAnsiTheme="majorEastAsia" w:eastAsiaTheme="majorEastAsia" w:cstheme="majorEastAsia"/>
          <w:spacing w:val="-1"/>
          <w:w w:val="99"/>
        </w:rPr>
        <w:t>证证书</w:t>
      </w:r>
      <w:r>
        <w:rPr>
          <w:rFonts w:hint="eastAsia" w:asciiTheme="majorEastAsia" w:hAnsiTheme="majorEastAsia" w:eastAsiaTheme="majorEastAsia" w:cstheme="majorEastAsia"/>
          <w:spacing w:val="2"/>
          <w:w w:val="99"/>
        </w:rPr>
        <w:t>（</w:t>
      </w:r>
      <w:r>
        <w:rPr>
          <w:rFonts w:hint="eastAsia" w:asciiTheme="majorEastAsia" w:hAnsiTheme="majorEastAsia" w:eastAsiaTheme="majorEastAsia" w:cstheme="majorEastAsia"/>
          <w:spacing w:val="-1"/>
          <w:w w:val="99"/>
        </w:rPr>
        <w:t>特殊情况下，视认证风险情况可能会发放有效期限较短的证书</w:t>
      </w:r>
      <w:r>
        <w:rPr>
          <w:rFonts w:hint="eastAsia" w:asciiTheme="majorEastAsia" w:hAnsiTheme="majorEastAsia" w:eastAsiaTheme="majorEastAsia" w:cstheme="majorEastAsia"/>
          <w:spacing w:val="-104"/>
          <w:w w:val="99"/>
        </w:rPr>
        <w:t>）</w:t>
      </w:r>
      <w:r>
        <w:rPr>
          <w:rFonts w:hint="eastAsia" w:asciiTheme="majorEastAsia" w:hAnsiTheme="majorEastAsia" w:eastAsiaTheme="majorEastAsia" w:cstheme="majorEastAsia"/>
          <w:spacing w:val="-1"/>
          <w:w w:val="99"/>
        </w:rPr>
        <w:t>，该组织称呼为获证组织。</w:t>
      </w:r>
    </w:p>
    <w:p>
      <w:pPr>
        <w:pStyle w:val="4"/>
        <w:spacing w:line="249" w:lineRule="auto"/>
        <w:ind w:right="245" w:firstLine="43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获证组织应按本须知“三．监督审核、见证评审和稽查审核的要求”的规定接受证后监督，以保持认证的</w:t>
      </w:r>
      <w:r>
        <w:rPr>
          <w:rFonts w:hint="eastAsia" w:asciiTheme="majorEastAsia" w:hAnsiTheme="majorEastAsia" w:eastAsiaTheme="majorEastAsia" w:cstheme="majorEastAsia"/>
        </w:rPr>
        <w:t>有效性。证书到期，经</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再认证确认管理体系持续符合认证要求的组织，</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授予不超过上一认证周期认证周期认证证书的终止日期再加三年的认证证书。</w:t>
      </w:r>
    </w:p>
    <w:p>
      <w:pPr>
        <w:pStyle w:val="4"/>
        <w:spacing w:line="249" w:lineRule="auto"/>
        <w:ind w:right="248" w:firstLine="43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
          <w:w w:val="95"/>
        </w:rPr>
        <w:t>经</w:t>
      </w:r>
      <w:r>
        <w:rPr>
          <w:rFonts w:hint="eastAsia" w:asciiTheme="majorEastAsia" w:hAnsiTheme="majorEastAsia" w:eastAsiaTheme="majorEastAsia" w:cstheme="majorEastAsia"/>
          <w:spacing w:val="-1"/>
          <w:w w:val="95"/>
          <w:lang w:eastAsia="zh-CN"/>
        </w:rPr>
        <w:t>春晖国际认证</w:t>
      </w:r>
      <w:r>
        <w:rPr>
          <w:rFonts w:hint="eastAsia" w:asciiTheme="majorEastAsia" w:hAnsiTheme="majorEastAsia" w:eastAsiaTheme="majorEastAsia" w:cstheme="majorEastAsia"/>
          <w:spacing w:val="-1"/>
          <w:w w:val="95"/>
        </w:rPr>
        <w:t>转换认证机构所颁发的认证证书，</w:t>
      </w:r>
      <w:r>
        <w:rPr>
          <w:rFonts w:hint="eastAsia" w:asciiTheme="majorEastAsia" w:hAnsiTheme="majorEastAsia" w:eastAsiaTheme="majorEastAsia" w:cstheme="majorEastAsia"/>
          <w:spacing w:val="-1"/>
          <w:w w:val="95"/>
          <w:lang w:eastAsia="zh-CN"/>
        </w:rPr>
        <w:t>春晖国际认证</w:t>
      </w:r>
      <w:r>
        <w:rPr>
          <w:rFonts w:hint="eastAsia" w:asciiTheme="majorEastAsia" w:hAnsiTheme="majorEastAsia" w:eastAsiaTheme="majorEastAsia" w:cstheme="majorEastAsia"/>
          <w:spacing w:val="-1"/>
          <w:w w:val="95"/>
        </w:rPr>
        <w:t>授予有效期自认证决定日期至原颁证机构所颁发证</w:t>
      </w:r>
      <w:r>
        <w:rPr>
          <w:rFonts w:hint="eastAsia" w:asciiTheme="majorEastAsia" w:hAnsiTheme="majorEastAsia" w:eastAsiaTheme="majorEastAsia" w:cstheme="majorEastAsia"/>
          <w:spacing w:val="-1"/>
        </w:rPr>
        <w:t>书有效期截止日的认证证书。</w:t>
      </w:r>
    </w:p>
    <w:p>
      <w:pPr>
        <w:pStyle w:val="4"/>
        <w:spacing w:before="10"/>
        <w:ind w:left="0" w:firstLine="0"/>
        <w:rPr>
          <w:rFonts w:hint="eastAsia" w:asciiTheme="majorEastAsia" w:hAnsiTheme="majorEastAsia" w:eastAsiaTheme="majorEastAsia" w:cstheme="majorEastAsia"/>
          <w:sz w:val="18"/>
        </w:rPr>
      </w:pPr>
    </w:p>
    <w:p>
      <w:pPr>
        <w:spacing w:before="0"/>
        <w:ind w:left="527" w:right="0" w:firstLine="0"/>
        <w:jc w:val="left"/>
        <w:rPr>
          <w:rFonts w:hint="eastAsia" w:asciiTheme="majorEastAsia" w:hAnsiTheme="majorEastAsia" w:eastAsiaTheme="majorEastAsia" w:cstheme="majorEastAsia"/>
          <w:b/>
          <w:sz w:val="21"/>
        </w:rPr>
      </w:pPr>
      <w:bookmarkStart w:id="3" w:name="二、证书编号说明"/>
      <w:bookmarkEnd w:id="3"/>
      <w:bookmarkStart w:id="4" w:name="_bookmark2"/>
      <w:bookmarkEnd w:id="4"/>
      <w:r>
        <w:rPr>
          <w:rFonts w:hint="eastAsia" w:asciiTheme="majorEastAsia" w:hAnsiTheme="majorEastAsia" w:eastAsiaTheme="majorEastAsia" w:cstheme="majorEastAsia"/>
          <w:b/>
          <w:sz w:val="21"/>
        </w:rPr>
        <w:t>二、证书编号说明</w:t>
      </w:r>
    </w:p>
    <w:p>
      <w:pPr>
        <w:pStyle w:val="11"/>
        <w:numPr>
          <w:ilvl w:val="1"/>
          <w:numId w:val="1"/>
        </w:numPr>
        <w:tabs>
          <w:tab w:val="left" w:pos="928"/>
        </w:tabs>
        <w:spacing w:before="153" w:after="0" w:line="240" w:lineRule="auto"/>
        <w:ind w:left="928" w:right="0" w:hanging="401"/>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质量管理体系，环境管理体系，职业健康安全管理体系认证证书编号规则：</w:t>
      </w:r>
    </w:p>
    <w:p>
      <w:pPr>
        <w:pStyle w:val="11"/>
        <w:widowControl w:val="0"/>
        <w:numPr>
          <w:numId w:val="0"/>
        </w:numPr>
        <w:tabs>
          <w:tab w:val="left" w:pos="928"/>
        </w:tabs>
        <w:autoSpaceDE w:val="0"/>
        <w:autoSpaceDN w:val="0"/>
        <w:spacing w:before="153" w:after="0" w:line="240" w:lineRule="auto"/>
        <w:ind w:right="0" w:rightChars="0"/>
        <w:jc w:val="left"/>
        <w:rPr>
          <w:rFonts w:hint="eastAsia" w:asciiTheme="majorEastAsia" w:hAnsiTheme="majorEastAsia" w:eastAsiaTheme="majorEastAsia" w:cstheme="majorEastAsia"/>
          <w:sz w:val="21"/>
          <w:lang w:val="en-US" w:eastAsia="zh-CN"/>
        </w:rPr>
      </w:pPr>
      <w:r>
        <w:rPr>
          <w:rFonts w:hint="eastAsia" w:asciiTheme="majorEastAsia" w:hAnsiTheme="majorEastAsia" w:eastAsiaTheme="majorEastAsia" w:cstheme="majorEastAsia"/>
          <w:sz w:val="21"/>
          <w:lang w:val="en-US" w:eastAsia="zh-CN"/>
        </w:rPr>
        <w:t xml:space="preserve">              机构批准号+年份+体系简称【Q】+四位流水号+R+企业规模【S】</w:t>
      </w:r>
    </w:p>
    <w:p>
      <w:pPr>
        <w:pStyle w:val="4"/>
        <w:spacing w:before="14"/>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lang w:val="en-US" w:eastAsia="zh-CN"/>
        </w:rPr>
        <w:t xml:space="preserve">     </w:t>
      </w:r>
      <w:r>
        <w:rPr>
          <w:rFonts w:hint="eastAsia" w:asciiTheme="majorEastAsia" w:hAnsiTheme="majorEastAsia" w:eastAsiaTheme="majorEastAsia" w:cstheme="majorEastAsia"/>
        </w:rPr>
        <w:t xml:space="preserve">机构批准号 </w:t>
      </w:r>
      <w:r>
        <w:rPr>
          <w:rFonts w:hint="eastAsia" w:asciiTheme="majorEastAsia" w:hAnsiTheme="majorEastAsia" w:eastAsiaTheme="majorEastAsia" w:cstheme="majorEastAsia"/>
          <w:lang w:val="en-US" w:eastAsia="zh-CN"/>
        </w:rPr>
        <w:t>1169</w:t>
      </w:r>
      <w:r>
        <w:rPr>
          <w:rFonts w:hint="eastAsia" w:asciiTheme="majorEastAsia" w:hAnsiTheme="majorEastAsia" w:eastAsiaTheme="majorEastAsia" w:cstheme="majorEastAsia"/>
        </w:rPr>
        <w:t>(中国国家认证认可监督管理委员会（CNCA）对</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的机构批准编号)</w:t>
      </w:r>
    </w:p>
    <w:p>
      <w:pPr>
        <w:pStyle w:val="4"/>
        <w:spacing w:before="14"/>
        <w:ind w:left="0" w:leftChars="0" w:firstLine="0" w:firstLineChars="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体系简称：Q质量管理体系  E环境管理体系  O职业健康安全管理体系</w:t>
      </w:r>
    </w:p>
    <w:p>
      <w:pPr>
        <w:pStyle w:val="4"/>
        <w:spacing w:before="13" w:line="247" w:lineRule="auto"/>
        <w:ind w:right="245" w:firstLine="0"/>
        <w:jc w:val="both"/>
        <w:rPr>
          <w:rFonts w:hint="eastAsia" w:asciiTheme="majorEastAsia" w:hAnsiTheme="majorEastAsia" w:eastAsiaTheme="majorEastAsia" w:cstheme="majorEastAsia"/>
          <w:spacing w:val="-5"/>
        </w:rPr>
      </w:pPr>
      <w:r>
        <w:rPr>
          <w:rFonts w:hint="eastAsia" w:asciiTheme="majorEastAsia" w:hAnsiTheme="majorEastAsia" w:eastAsiaTheme="majorEastAsia" w:cstheme="majorEastAsia"/>
          <w:lang w:val="en-US" w:eastAsia="zh-CN"/>
        </w:rPr>
        <w:t>企业</w:t>
      </w:r>
      <w:r>
        <w:rPr>
          <w:rFonts w:hint="eastAsia" w:asciiTheme="majorEastAsia" w:hAnsiTheme="majorEastAsia" w:eastAsiaTheme="majorEastAsia" w:cstheme="majorEastAsia"/>
        </w:rPr>
        <w:t>规模：L</w:t>
      </w:r>
      <w:r>
        <w:rPr>
          <w:rFonts w:hint="eastAsia" w:asciiTheme="majorEastAsia" w:hAnsiTheme="majorEastAsia" w:eastAsiaTheme="majorEastAsia" w:cstheme="majorEastAsia"/>
          <w:spacing w:val="-5"/>
        </w:rPr>
        <w:t xml:space="preserve"> 代表客户人数大于 </w:t>
      </w:r>
      <w:r>
        <w:rPr>
          <w:rFonts w:hint="eastAsia" w:asciiTheme="majorEastAsia" w:hAnsiTheme="majorEastAsia" w:eastAsiaTheme="majorEastAsia" w:cstheme="majorEastAsia"/>
        </w:rPr>
        <w:t>1000</w:t>
      </w:r>
      <w:r>
        <w:rPr>
          <w:rFonts w:hint="eastAsia" w:asciiTheme="majorEastAsia" w:hAnsiTheme="majorEastAsia" w:eastAsiaTheme="majorEastAsia" w:cstheme="majorEastAsia"/>
          <w:spacing w:val="-4"/>
        </w:rPr>
        <w:t xml:space="preserve"> 人；</w:t>
      </w:r>
      <w:r>
        <w:rPr>
          <w:rFonts w:hint="eastAsia" w:asciiTheme="majorEastAsia" w:hAnsiTheme="majorEastAsia" w:eastAsiaTheme="majorEastAsia" w:cstheme="majorEastAsia"/>
        </w:rPr>
        <w:t>M</w:t>
      </w:r>
      <w:r>
        <w:rPr>
          <w:rFonts w:hint="eastAsia" w:asciiTheme="majorEastAsia" w:hAnsiTheme="majorEastAsia" w:eastAsiaTheme="majorEastAsia" w:cstheme="majorEastAsia"/>
          <w:spacing w:val="-5"/>
        </w:rPr>
        <w:t xml:space="preserve"> 代表组织人数 </w:t>
      </w:r>
      <w:r>
        <w:rPr>
          <w:rFonts w:hint="eastAsia" w:asciiTheme="majorEastAsia" w:hAnsiTheme="majorEastAsia" w:eastAsiaTheme="majorEastAsia" w:cstheme="majorEastAsia"/>
        </w:rPr>
        <w:t>51～1000；S</w:t>
      </w:r>
      <w:r>
        <w:rPr>
          <w:rFonts w:hint="eastAsia" w:asciiTheme="majorEastAsia" w:hAnsiTheme="majorEastAsia" w:eastAsiaTheme="majorEastAsia" w:cstheme="majorEastAsia"/>
          <w:spacing w:val="-5"/>
        </w:rPr>
        <w:t xml:space="preserve"> 代表员工小于 </w:t>
      </w:r>
      <w:r>
        <w:rPr>
          <w:rFonts w:hint="eastAsia" w:asciiTheme="majorEastAsia" w:hAnsiTheme="majorEastAsia" w:eastAsiaTheme="majorEastAsia" w:cstheme="majorEastAsia"/>
        </w:rPr>
        <w:t>51</w:t>
      </w:r>
      <w:r>
        <w:rPr>
          <w:rFonts w:hint="eastAsia" w:asciiTheme="majorEastAsia" w:hAnsiTheme="majorEastAsia" w:eastAsiaTheme="majorEastAsia" w:cstheme="majorEastAsia"/>
          <w:spacing w:val="-5"/>
        </w:rPr>
        <w:t xml:space="preserve"> 人。</w:t>
      </w:r>
    </w:p>
    <w:p>
      <w:pPr>
        <w:pStyle w:val="4"/>
        <w:spacing w:before="13" w:line="247" w:lineRule="auto"/>
        <w:ind w:right="245" w:firstLine="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5"/>
          <w:lang w:val="en-US" w:eastAsia="zh-CN"/>
        </w:rPr>
        <w:t>如有子公司</w:t>
      </w:r>
      <w:r>
        <w:rPr>
          <w:rFonts w:hint="eastAsia" w:asciiTheme="majorEastAsia" w:hAnsiTheme="majorEastAsia" w:eastAsiaTheme="majorEastAsia" w:cstheme="majorEastAsia"/>
          <w:spacing w:val="2"/>
          <w:w w:val="99"/>
        </w:rPr>
        <w:t>子证书号</w:t>
      </w:r>
      <w:r>
        <w:rPr>
          <w:rFonts w:hint="eastAsia" w:asciiTheme="majorEastAsia" w:hAnsiTheme="majorEastAsia" w:eastAsiaTheme="majorEastAsia" w:cstheme="majorEastAsia"/>
          <w:spacing w:val="2"/>
          <w:w w:val="99"/>
          <w:lang w:eastAsia="zh-CN"/>
        </w:rPr>
        <w:t>，</w:t>
      </w:r>
      <w:r>
        <w:rPr>
          <w:rFonts w:hint="eastAsia" w:asciiTheme="majorEastAsia" w:hAnsiTheme="majorEastAsia" w:eastAsiaTheme="majorEastAsia" w:cstheme="majorEastAsia"/>
          <w:spacing w:val="2"/>
          <w:w w:val="99"/>
          <w:lang w:val="en-US" w:eastAsia="zh-CN"/>
        </w:rPr>
        <w:t>在编号后加</w:t>
      </w:r>
      <w:r>
        <w:rPr>
          <w:rFonts w:hint="eastAsia" w:asciiTheme="majorEastAsia" w:hAnsiTheme="majorEastAsia" w:eastAsiaTheme="majorEastAsia" w:cstheme="majorEastAsia"/>
          <w:spacing w:val="2"/>
          <w:w w:val="99"/>
        </w:rPr>
        <w:t>（</w:t>
      </w:r>
      <w:r>
        <w:rPr>
          <w:rFonts w:hint="eastAsia" w:asciiTheme="majorEastAsia" w:hAnsiTheme="majorEastAsia" w:eastAsiaTheme="majorEastAsia" w:cstheme="majorEastAsia"/>
          <w:w w:val="99"/>
        </w:rPr>
        <w:t>-</w:t>
      </w:r>
      <w:r>
        <w:rPr>
          <w:rFonts w:hint="eastAsia" w:asciiTheme="majorEastAsia" w:hAnsiTheme="majorEastAsia" w:eastAsiaTheme="majorEastAsia" w:cstheme="majorEastAsia"/>
          <w:spacing w:val="2"/>
          <w:w w:val="99"/>
        </w:rPr>
        <w:t>X</w:t>
      </w:r>
      <w:r>
        <w:rPr>
          <w:rFonts w:hint="eastAsia" w:asciiTheme="majorEastAsia" w:hAnsiTheme="majorEastAsia" w:eastAsiaTheme="majorEastAsia" w:cstheme="majorEastAsia"/>
          <w:spacing w:val="-101"/>
          <w:w w:val="99"/>
        </w:rPr>
        <w:t>）</w:t>
      </w:r>
      <w:r>
        <w:rPr>
          <w:rFonts w:hint="eastAsia" w:asciiTheme="majorEastAsia" w:hAnsiTheme="majorEastAsia" w:eastAsiaTheme="majorEastAsia" w:cstheme="majorEastAsia"/>
          <w:spacing w:val="1"/>
          <w:w w:val="99"/>
        </w:rPr>
        <w:t>。多场所组织的子证书注册号与总部的注册号相同，在注册号后加子证书的分</w:t>
      </w:r>
      <w:r>
        <w:rPr>
          <w:rFonts w:hint="eastAsia" w:asciiTheme="majorEastAsia" w:hAnsiTheme="majorEastAsia" w:eastAsiaTheme="majorEastAsia" w:cstheme="majorEastAsia"/>
        </w:rPr>
        <w:t>号：—1，—2，……</w:t>
      </w:r>
    </w:p>
    <w:p>
      <w:pPr>
        <w:pStyle w:val="11"/>
        <w:numPr>
          <w:ilvl w:val="1"/>
          <w:numId w:val="1"/>
        </w:numPr>
        <w:tabs>
          <w:tab w:val="left" w:pos="928"/>
        </w:tabs>
        <w:spacing w:before="153" w:after="0" w:line="240" w:lineRule="auto"/>
        <w:ind w:left="928" w:right="0" w:hanging="401"/>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认证标准换版引发的换证，证书编号保持不变。</w:t>
      </w:r>
    </w:p>
    <w:p>
      <w:pPr>
        <w:pStyle w:val="11"/>
        <w:numPr>
          <w:ilvl w:val="1"/>
          <w:numId w:val="1"/>
        </w:numPr>
        <w:tabs>
          <w:tab w:val="left" w:pos="945"/>
        </w:tabs>
        <w:spacing w:before="211" w:after="0" w:line="240" w:lineRule="auto"/>
        <w:ind w:left="944" w:right="0" w:hanging="400"/>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关于在建筑施工领域质量管理体系认证证书的特别说明：</w:t>
      </w:r>
    </w:p>
    <w:p>
      <w:pPr>
        <w:pStyle w:val="4"/>
        <w:spacing w:before="11" w:line="247" w:lineRule="auto"/>
        <w:ind w:right="245"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依据国家认证认可监督管理委员会《关于进一步明确建筑施工领域质量管理体系 认证证书标识有关事项</w:t>
      </w:r>
      <w:r>
        <w:rPr>
          <w:rFonts w:hint="eastAsia" w:asciiTheme="majorEastAsia" w:hAnsiTheme="majorEastAsia" w:eastAsiaTheme="majorEastAsia" w:cstheme="majorEastAsia"/>
          <w:spacing w:val="-28"/>
        </w:rPr>
        <w:t>的通知》</w:t>
      </w:r>
      <w:r>
        <w:rPr>
          <w:rFonts w:hint="eastAsia" w:asciiTheme="majorEastAsia" w:hAnsiTheme="majorEastAsia" w:eastAsiaTheme="majorEastAsia" w:cstheme="majorEastAsia"/>
        </w:rPr>
        <w:t>（国认可[2012]32</w:t>
      </w:r>
      <w:r>
        <w:rPr>
          <w:rFonts w:hint="eastAsia" w:asciiTheme="majorEastAsia" w:hAnsiTheme="majorEastAsia" w:eastAsiaTheme="majorEastAsia" w:cstheme="majorEastAsia"/>
          <w:spacing w:val="15"/>
        </w:rPr>
        <w:t xml:space="preserve"> 号</w:t>
      </w:r>
      <w:r>
        <w:rPr>
          <w:rFonts w:hint="eastAsia" w:asciiTheme="majorEastAsia" w:hAnsiTheme="majorEastAsia" w:eastAsiaTheme="majorEastAsia" w:cstheme="majorEastAsia"/>
          <w:spacing w:val="-8"/>
        </w:rPr>
        <w:t>）</w:t>
      </w:r>
      <w:r>
        <w:rPr>
          <w:rFonts w:hint="eastAsia" w:asciiTheme="majorEastAsia" w:hAnsiTheme="majorEastAsia" w:eastAsiaTheme="majorEastAsia" w:cstheme="majorEastAsia"/>
          <w:spacing w:val="-2"/>
        </w:rPr>
        <w:t xml:space="preserve">要求：“建筑施工企业因参与境外招投标工作，需要单独取得 </w:t>
      </w:r>
      <w:r>
        <w:rPr>
          <w:rFonts w:hint="eastAsia" w:asciiTheme="majorEastAsia" w:hAnsiTheme="majorEastAsia" w:eastAsiaTheme="majorEastAsia" w:cstheme="majorEastAsia"/>
        </w:rPr>
        <w:t>ISO</w:t>
      </w:r>
      <w:r>
        <w:rPr>
          <w:rFonts w:hint="eastAsia" w:asciiTheme="majorEastAsia" w:hAnsiTheme="majorEastAsia" w:eastAsiaTheme="majorEastAsia" w:cstheme="majorEastAsia"/>
          <w:spacing w:val="-16"/>
        </w:rPr>
        <w:t xml:space="preserve"> </w:t>
      </w:r>
      <w:r>
        <w:rPr>
          <w:rFonts w:hint="eastAsia" w:asciiTheme="majorEastAsia" w:hAnsiTheme="majorEastAsia" w:eastAsiaTheme="majorEastAsia" w:cstheme="majorEastAsia"/>
        </w:rPr>
        <w:t>9001</w:t>
      </w:r>
      <w:r>
        <w:rPr>
          <w:rFonts w:hint="eastAsia" w:asciiTheme="majorEastAsia" w:hAnsiTheme="majorEastAsia" w:eastAsiaTheme="majorEastAsia" w:cstheme="majorEastAsia"/>
          <w:spacing w:val="-6"/>
        </w:rPr>
        <w:t xml:space="preserve"> 认证</w:t>
      </w:r>
      <w:r>
        <w:rPr>
          <w:rFonts w:hint="eastAsia" w:asciiTheme="majorEastAsia" w:hAnsiTheme="majorEastAsia" w:eastAsiaTheme="majorEastAsia" w:cstheme="majorEastAsia"/>
          <w:spacing w:val="-4"/>
        </w:rPr>
        <w:t xml:space="preserve">证书时，具有能力的认证机构依企业申请可向已取得 </w:t>
      </w:r>
      <w:r>
        <w:rPr>
          <w:rFonts w:hint="eastAsia" w:asciiTheme="majorEastAsia" w:hAnsiTheme="majorEastAsia" w:eastAsiaTheme="majorEastAsia" w:cstheme="majorEastAsia"/>
        </w:rPr>
        <w:t>GB/T 19001</w:t>
      </w:r>
      <w:r>
        <w:rPr>
          <w:rFonts w:hint="eastAsia" w:asciiTheme="majorEastAsia" w:hAnsiTheme="majorEastAsia" w:eastAsiaTheme="majorEastAsia" w:cstheme="majorEastAsia"/>
          <w:spacing w:val="10"/>
        </w:rPr>
        <w:t xml:space="preserve"> 和 </w:t>
      </w:r>
      <w:r>
        <w:rPr>
          <w:rFonts w:hint="eastAsia" w:asciiTheme="majorEastAsia" w:hAnsiTheme="majorEastAsia" w:eastAsiaTheme="majorEastAsia" w:cstheme="majorEastAsia"/>
        </w:rPr>
        <w:t>GB/T</w:t>
      </w:r>
      <w:r>
        <w:rPr>
          <w:rFonts w:hint="eastAsia" w:asciiTheme="majorEastAsia" w:hAnsiTheme="majorEastAsia" w:eastAsiaTheme="majorEastAsia" w:cstheme="majorEastAsia"/>
          <w:spacing w:val="-2"/>
        </w:rPr>
        <w:t xml:space="preserve"> </w:t>
      </w:r>
      <w:r>
        <w:rPr>
          <w:rFonts w:hint="eastAsia" w:asciiTheme="majorEastAsia" w:hAnsiTheme="majorEastAsia" w:eastAsiaTheme="majorEastAsia" w:cstheme="majorEastAsia"/>
        </w:rPr>
        <w:t>50430 认证的获证组织单独颁发ISO</w:t>
      </w:r>
      <w:r>
        <w:rPr>
          <w:rFonts w:hint="eastAsia" w:asciiTheme="majorEastAsia" w:hAnsiTheme="majorEastAsia" w:eastAsiaTheme="majorEastAsia" w:cstheme="majorEastAsia"/>
          <w:spacing w:val="-15"/>
        </w:rPr>
        <w:t xml:space="preserve"> </w:t>
      </w:r>
      <w:r>
        <w:rPr>
          <w:rFonts w:hint="eastAsia" w:asciiTheme="majorEastAsia" w:hAnsiTheme="majorEastAsia" w:eastAsiaTheme="majorEastAsia" w:cstheme="majorEastAsia"/>
        </w:rPr>
        <w:t>9001</w:t>
      </w:r>
      <w:r>
        <w:rPr>
          <w:rFonts w:hint="eastAsia" w:asciiTheme="majorEastAsia" w:hAnsiTheme="majorEastAsia" w:eastAsiaTheme="majorEastAsia" w:cstheme="majorEastAsia"/>
          <w:spacing w:val="-4"/>
        </w:rPr>
        <w:t xml:space="preserve"> 认证证书，但该证书不能在中国境内使用和展示”。经 </w:t>
      </w:r>
      <w:r>
        <w:rPr>
          <w:rFonts w:hint="eastAsia" w:asciiTheme="majorEastAsia" w:hAnsiTheme="majorEastAsia" w:eastAsiaTheme="majorEastAsia" w:cstheme="majorEastAsia"/>
        </w:rPr>
        <w:t>CNAS</w:t>
      </w:r>
      <w:r>
        <w:rPr>
          <w:rFonts w:hint="eastAsia" w:asciiTheme="majorEastAsia" w:hAnsiTheme="majorEastAsia" w:eastAsiaTheme="majorEastAsia" w:cstheme="majorEastAsia"/>
          <w:spacing w:val="2"/>
        </w:rPr>
        <w:t xml:space="preserve"> 认可的认证机构，颁发依据为 </w:t>
      </w:r>
      <w:r>
        <w:rPr>
          <w:rFonts w:hint="eastAsia" w:asciiTheme="majorEastAsia" w:hAnsiTheme="majorEastAsia" w:eastAsiaTheme="majorEastAsia" w:cstheme="majorEastAsia"/>
        </w:rPr>
        <w:t>GB/T 19001/</w:t>
      </w:r>
      <w:r>
        <w:rPr>
          <w:rFonts w:hint="eastAsia" w:asciiTheme="majorEastAsia" w:hAnsiTheme="majorEastAsia" w:eastAsiaTheme="majorEastAsia" w:cstheme="majorEastAsia"/>
          <w:spacing w:val="-13"/>
        </w:rPr>
        <w:t xml:space="preserve"> </w:t>
      </w:r>
      <w:r>
        <w:rPr>
          <w:rFonts w:hint="eastAsia" w:asciiTheme="majorEastAsia" w:hAnsiTheme="majorEastAsia" w:eastAsiaTheme="majorEastAsia" w:cstheme="majorEastAsia"/>
        </w:rPr>
        <w:t>ISO</w:t>
      </w:r>
      <w:r>
        <w:rPr>
          <w:rFonts w:hint="eastAsia" w:asciiTheme="majorEastAsia" w:hAnsiTheme="majorEastAsia" w:eastAsiaTheme="majorEastAsia" w:cstheme="majorEastAsia"/>
          <w:spacing w:val="-10"/>
        </w:rPr>
        <w:t xml:space="preserve"> </w:t>
      </w:r>
      <w:r>
        <w:rPr>
          <w:rFonts w:hint="eastAsia" w:asciiTheme="majorEastAsia" w:hAnsiTheme="majorEastAsia" w:eastAsiaTheme="majorEastAsia" w:cstheme="majorEastAsia"/>
        </w:rPr>
        <w:t>9001</w:t>
      </w:r>
      <w:r>
        <w:rPr>
          <w:rFonts w:hint="eastAsia" w:asciiTheme="majorEastAsia" w:hAnsiTheme="majorEastAsia" w:eastAsiaTheme="majorEastAsia" w:cstheme="majorEastAsia"/>
          <w:spacing w:val="25"/>
        </w:rPr>
        <w:t xml:space="preserve"> 和 </w:t>
      </w:r>
      <w:r>
        <w:rPr>
          <w:rFonts w:hint="eastAsia" w:asciiTheme="majorEastAsia" w:hAnsiTheme="majorEastAsia" w:eastAsiaTheme="majorEastAsia" w:cstheme="majorEastAsia"/>
        </w:rPr>
        <w:t>GB/T</w:t>
      </w:r>
      <w:r>
        <w:rPr>
          <w:rFonts w:hint="eastAsia" w:asciiTheme="majorEastAsia" w:hAnsiTheme="majorEastAsia" w:eastAsiaTheme="majorEastAsia" w:cstheme="majorEastAsia"/>
          <w:spacing w:val="-13"/>
        </w:rPr>
        <w:t xml:space="preserve"> </w:t>
      </w:r>
      <w:r>
        <w:rPr>
          <w:rFonts w:hint="eastAsia" w:asciiTheme="majorEastAsia" w:hAnsiTheme="majorEastAsia" w:eastAsiaTheme="majorEastAsia" w:cstheme="majorEastAsia"/>
        </w:rPr>
        <w:t>50430</w:t>
      </w:r>
      <w:r>
        <w:rPr>
          <w:rFonts w:hint="eastAsia" w:asciiTheme="majorEastAsia" w:hAnsiTheme="majorEastAsia" w:eastAsiaTheme="majorEastAsia" w:cstheme="majorEastAsia"/>
          <w:spacing w:val="1"/>
        </w:rPr>
        <w:t xml:space="preserve"> 的建筑施工领域质量管理体系认证证书可以带有 </w:t>
      </w:r>
      <w:r>
        <w:rPr>
          <w:rFonts w:hint="eastAsia" w:asciiTheme="majorEastAsia" w:hAnsiTheme="majorEastAsia" w:eastAsiaTheme="majorEastAsia" w:cstheme="majorEastAsia"/>
        </w:rPr>
        <w:t>CNAS</w:t>
      </w:r>
      <w:r>
        <w:rPr>
          <w:rFonts w:hint="eastAsia" w:asciiTheme="majorEastAsia" w:hAnsiTheme="majorEastAsia" w:eastAsiaTheme="majorEastAsia" w:cstheme="majorEastAsia"/>
          <w:spacing w:val="3"/>
        </w:rPr>
        <w:t xml:space="preserve"> 认可标识，但该</w:t>
      </w:r>
      <w:r>
        <w:rPr>
          <w:rFonts w:hint="eastAsia" w:asciiTheme="majorEastAsia" w:hAnsiTheme="majorEastAsia" w:eastAsiaTheme="majorEastAsia" w:cstheme="majorEastAsia"/>
          <w:spacing w:val="11"/>
        </w:rPr>
        <w:t xml:space="preserve">证书不得带有 </w:t>
      </w:r>
      <w:r>
        <w:rPr>
          <w:rFonts w:hint="eastAsia" w:asciiTheme="majorEastAsia" w:hAnsiTheme="majorEastAsia" w:eastAsiaTheme="majorEastAsia" w:cstheme="majorEastAsia"/>
        </w:rPr>
        <w:t>IAF-MLA/CNAS</w:t>
      </w:r>
      <w:r>
        <w:rPr>
          <w:rFonts w:hint="eastAsia" w:asciiTheme="majorEastAsia" w:hAnsiTheme="majorEastAsia" w:eastAsiaTheme="majorEastAsia" w:cstheme="majorEastAsia"/>
          <w:spacing w:val="18"/>
        </w:rPr>
        <w:t xml:space="preserve"> 联合标识； 经 </w:t>
      </w:r>
      <w:r>
        <w:rPr>
          <w:rFonts w:hint="eastAsia" w:asciiTheme="majorEastAsia" w:hAnsiTheme="majorEastAsia" w:eastAsiaTheme="majorEastAsia" w:cstheme="majorEastAsia"/>
        </w:rPr>
        <w:t>CNAS</w:t>
      </w:r>
      <w:r>
        <w:rPr>
          <w:rFonts w:hint="eastAsia" w:asciiTheme="majorEastAsia" w:hAnsiTheme="majorEastAsia" w:eastAsiaTheme="majorEastAsia" w:cstheme="majorEastAsia"/>
          <w:spacing w:val="8"/>
        </w:rPr>
        <w:t xml:space="preserve"> 认可的认证机构，向建筑施工组织单独颁发的 </w:t>
      </w:r>
      <w:r>
        <w:rPr>
          <w:rFonts w:hint="eastAsia" w:asciiTheme="majorEastAsia" w:hAnsiTheme="majorEastAsia" w:eastAsiaTheme="majorEastAsia" w:cstheme="majorEastAsia"/>
        </w:rPr>
        <w:t>ISO9001</w:t>
      </w:r>
      <w:r>
        <w:rPr>
          <w:rFonts w:hint="eastAsia" w:asciiTheme="majorEastAsia" w:hAnsiTheme="majorEastAsia" w:eastAsiaTheme="majorEastAsia" w:cstheme="majorEastAsia"/>
          <w:spacing w:val="12"/>
        </w:rPr>
        <w:t xml:space="preserve"> 认证 证书可带有 </w:t>
      </w:r>
      <w:r>
        <w:rPr>
          <w:rFonts w:hint="eastAsia" w:asciiTheme="majorEastAsia" w:hAnsiTheme="majorEastAsia" w:eastAsiaTheme="majorEastAsia" w:cstheme="majorEastAsia"/>
        </w:rPr>
        <w:t>IAF-MLA/CNAS</w:t>
      </w:r>
      <w:r>
        <w:rPr>
          <w:rFonts w:hint="eastAsia" w:asciiTheme="majorEastAsia" w:hAnsiTheme="majorEastAsia" w:eastAsiaTheme="majorEastAsia" w:cstheme="majorEastAsia"/>
          <w:spacing w:val="9"/>
        </w:rPr>
        <w:t xml:space="preserve"> 联合标识，但该证书的认证范围及证书注册号码应与依据 </w:t>
      </w:r>
      <w:r>
        <w:rPr>
          <w:rFonts w:hint="eastAsia" w:asciiTheme="majorEastAsia" w:hAnsiTheme="majorEastAsia" w:eastAsiaTheme="majorEastAsia" w:cstheme="majorEastAsia"/>
        </w:rPr>
        <w:t>GB/T50430 和 GB/T 19001 标准的认证证书相同。</w:t>
      </w:r>
    </w:p>
    <w:p>
      <w:pPr>
        <w:pStyle w:val="4"/>
        <w:spacing w:before="6"/>
        <w:ind w:left="0" w:firstLine="0"/>
        <w:rPr>
          <w:rFonts w:hint="eastAsia" w:asciiTheme="majorEastAsia" w:hAnsiTheme="majorEastAsia" w:eastAsiaTheme="majorEastAsia" w:cstheme="majorEastAsia"/>
          <w:sz w:val="22"/>
        </w:rPr>
      </w:pPr>
    </w:p>
    <w:p>
      <w:pPr>
        <w:spacing w:before="0"/>
        <w:ind w:left="544" w:right="0" w:firstLine="0"/>
        <w:jc w:val="left"/>
        <w:rPr>
          <w:rFonts w:hint="eastAsia" w:asciiTheme="majorEastAsia" w:hAnsiTheme="majorEastAsia" w:eastAsiaTheme="majorEastAsia" w:cstheme="majorEastAsia"/>
          <w:b/>
          <w:sz w:val="21"/>
        </w:rPr>
      </w:pPr>
      <w:bookmarkStart w:id="5" w:name="三、监督审核、见证评审和特殊审核的要求"/>
      <w:bookmarkEnd w:id="5"/>
      <w:bookmarkStart w:id="6" w:name="_bookmark3"/>
      <w:bookmarkEnd w:id="6"/>
      <w:r>
        <w:rPr>
          <w:rFonts w:hint="eastAsia" w:asciiTheme="majorEastAsia" w:hAnsiTheme="majorEastAsia" w:eastAsiaTheme="majorEastAsia" w:cstheme="majorEastAsia"/>
          <w:b/>
          <w:sz w:val="21"/>
        </w:rPr>
        <w:t>三、监督审核、见证评审和特殊审核的要求</w:t>
      </w:r>
    </w:p>
    <w:p>
      <w:pPr>
        <w:pStyle w:val="4"/>
        <w:spacing w:before="14" w:line="249" w:lineRule="auto"/>
        <w:ind w:left="544" w:right="243" w:firstLine="0"/>
        <w:rPr>
          <w:rFonts w:hint="eastAsia" w:asciiTheme="majorEastAsia" w:hAnsiTheme="majorEastAsia" w:eastAsiaTheme="majorEastAsia" w:cstheme="majorEastAsia"/>
          <w:w w:val="95"/>
        </w:rPr>
      </w:pPr>
      <w:r>
        <w:rPr>
          <w:rFonts w:hint="eastAsia" w:asciiTheme="majorEastAsia" w:hAnsiTheme="majorEastAsia" w:eastAsiaTheme="majorEastAsia" w:cstheme="majorEastAsia"/>
          <w:w w:val="95"/>
        </w:rPr>
        <w:t>监督审核是</w:t>
      </w:r>
      <w:r>
        <w:rPr>
          <w:rFonts w:hint="eastAsia" w:asciiTheme="majorEastAsia" w:hAnsiTheme="majorEastAsia" w:eastAsiaTheme="majorEastAsia" w:cstheme="majorEastAsia"/>
          <w:w w:val="95"/>
          <w:lang w:eastAsia="zh-CN"/>
        </w:rPr>
        <w:t>春晖国际认证</w:t>
      </w:r>
      <w:r>
        <w:rPr>
          <w:rFonts w:hint="eastAsia" w:asciiTheme="majorEastAsia" w:hAnsiTheme="majorEastAsia" w:eastAsiaTheme="majorEastAsia" w:cstheme="majorEastAsia"/>
          <w:w w:val="95"/>
        </w:rPr>
        <w:t>验证获证组织的管理体系是否持续运作，评定其体系是否满足认证要求的审核活动。</w:t>
      </w:r>
    </w:p>
    <w:p>
      <w:pPr>
        <w:pStyle w:val="4"/>
        <w:spacing w:before="0" w:line="240" w:lineRule="auto"/>
        <w:ind w:left="0" w:right="0"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见证评审是认可机构（</w:t>
      </w:r>
      <w:r>
        <w:rPr>
          <w:rFonts w:hint="eastAsia" w:asciiTheme="majorEastAsia" w:hAnsiTheme="majorEastAsia" w:eastAsiaTheme="majorEastAsia" w:cstheme="majorEastAsia"/>
          <w:spacing w:val="-8"/>
        </w:rPr>
        <w:t xml:space="preserve">如中国 </w:t>
      </w:r>
      <w:r>
        <w:rPr>
          <w:rFonts w:hint="eastAsia" w:asciiTheme="majorEastAsia" w:hAnsiTheme="majorEastAsia" w:eastAsiaTheme="majorEastAsia" w:cstheme="majorEastAsia"/>
        </w:rPr>
        <w:t>CNAS）</w:t>
      </w:r>
      <w:r>
        <w:rPr>
          <w:rFonts w:hint="eastAsia" w:asciiTheme="majorEastAsia" w:hAnsiTheme="majorEastAsia" w:eastAsiaTheme="majorEastAsia" w:cstheme="majorEastAsia"/>
          <w:spacing w:val="-1"/>
        </w:rPr>
        <w:t>对认证机构的认证审核能力和专业能力的现场验证，是认可评审工</w:t>
      </w:r>
      <w:r>
        <w:rPr>
          <w:rFonts w:hint="eastAsia" w:asciiTheme="majorEastAsia" w:hAnsiTheme="majorEastAsia" w:eastAsiaTheme="majorEastAsia" w:cstheme="majorEastAsia"/>
        </w:rPr>
        <w:t>作中不可缺少的一部分。</w:t>
      </w:r>
    </w:p>
    <w:p>
      <w:pPr>
        <w:pStyle w:val="4"/>
        <w:spacing w:before="14"/>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特殊审核包括扩大认证范围审核、提前较短时间的审核（例如：投诉的调查，对变更的回应）等。</w:t>
      </w:r>
    </w:p>
    <w:p>
      <w:pPr>
        <w:pStyle w:val="11"/>
        <w:numPr>
          <w:ilvl w:val="1"/>
          <w:numId w:val="2"/>
        </w:numPr>
        <w:tabs>
          <w:tab w:val="left" w:pos="892"/>
        </w:tabs>
        <w:spacing w:before="13" w:after="0" w:line="240" w:lineRule="auto"/>
        <w:ind w:left="892" w:right="0" w:hanging="348"/>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监督审核</w:t>
      </w:r>
    </w:p>
    <w:p>
      <w:pPr>
        <w:pStyle w:val="11"/>
        <w:numPr>
          <w:ilvl w:val="2"/>
          <w:numId w:val="2"/>
        </w:numPr>
        <w:tabs>
          <w:tab w:val="left" w:pos="1068"/>
        </w:tabs>
        <w:spacing w:before="12" w:after="0" w:line="240" w:lineRule="auto"/>
        <w:ind w:left="1067" w:right="0" w:hanging="52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监督审核的时间</w:t>
      </w:r>
    </w:p>
    <w:p>
      <w:pPr>
        <w:pStyle w:val="4"/>
        <w:spacing w:before="13" w:line="247" w:lineRule="auto"/>
        <w:ind w:right="245"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lang w:eastAsia="zh-CN"/>
        </w:rPr>
        <w:t>春晖国际认证</w:t>
      </w:r>
      <w:r>
        <w:rPr>
          <w:rFonts w:hint="eastAsia" w:asciiTheme="majorEastAsia" w:hAnsiTheme="majorEastAsia" w:eastAsiaTheme="majorEastAsia" w:cstheme="majorEastAsia"/>
          <w:spacing w:val="-4"/>
        </w:rPr>
        <w:t xml:space="preserve">对获证组织定期的监督审核在证书的有效期内每年一次均衡分布进行，在上次现场审核后的第 </w:t>
      </w:r>
      <w:r>
        <w:rPr>
          <w:rFonts w:hint="eastAsia" w:asciiTheme="majorEastAsia" w:hAnsiTheme="majorEastAsia" w:eastAsiaTheme="majorEastAsia" w:cstheme="majorEastAsia"/>
        </w:rPr>
        <w:t xml:space="preserve">11 </w:t>
      </w:r>
      <w:r>
        <w:rPr>
          <w:rFonts w:hint="eastAsia" w:asciiTheme="majorEastAsia" w:hAnsiTheme="majorEastAsia" w:eastAsiaTheme="majorEastAsia" w:cstheme="majorEastAsia"/>
          <w:spacing w:val="-2"/>
          <w:w w:val="95"/>
        </w:rPr>
        <w:t>个月对其相应的管理体系进行监督审核</w:t>
      </w:r>
      <w:r>
        <w:rPr>
          <w:rFonts w:hint="eastAsia" w:asciiTheme="majorEastAsia" w:hAnsiTheme="majorEastAsia" w:eastAsiaTheme="majorEastAsia" w:cstheme="majorEastAsia"/>
          <w:w w:val="95"/>
        </w:rPr>
        <w:t>（一般第三次监督转为再认证</w:t>
      </w:r>
      <w:r>
        <w:rPr>
          <w:rFonts w:hint="eastAsia" w:asciiTheme="majorEastAsia" w:hAnsiTheme="majorEastAsia" w:eastAsiaTheme="majorEastAsia" w:cstheme="majorEastAsia"/>
          <w:spacing w:val="-68"/>
          <w:w w:val="95"/>
        </w:rPr>
        <w:t>）</w:t>
      </w:r>
      <w:r>
        <w:rPr>
          <w:rFonts w:hint="eastAsia" w:asciiTheme="majorEastAsia" w:hAnsiTheme="majorEastAsia" w:eastAsiaTheme="majorEastAsia" w:cstheme="majorEastAsia"/>
          <w:spacing w:val="-11"/>
          <w:w w:val="95"/>
        </w:rPr>
        <w:t>，正常情况下，两次审核的末次会议日期</w:t>
      </w:r>
      <w:r>
        <w:rPr>
          <w:rFonts w:hint="eastAsia" w:asciiTheme="majorEastAsia" w:hAnsiTheme="majorEastAsia" w:eastAsiaTheme="majorEastAsia" w:cstheme="majorEastAsia"/>
          <w:spacing w:val="-11"/>
        </w:rPr>
        <w:t xml:space="preserve">的间隔不得超过 </w:t>
      </w:r>
      <w:r>
        <w:rPr>
          <w:rFonts w:hint="eastAsia" w:asciiTheme="majorEastAsia" w:hAnsiTheme="majorEastAsia" w:eastAsiaTheme="majorEastAsia" w:cstheme="majorEastAsia"/>
        </w:rPr>
        <w:t>12</w:t>
      </w:r>
      <w:r>
        <w:rPr>
          <w:rFonts w:hint="eastAsia" w:asciiTheme="majorEastAsia" w:hAnsiTheme="majorEastAsia" w:eastAsiaTheme="majorEastAsia" w:cstheme="majorEastAsia"/>
          <w:spacing w:val="-3"/>
        </w:rPr>
        <w:t xml:space="preserve"> 个月。</w:t>
      </w:r>
    </w:p>
    <w:p>
      <w:pPr>
        <w:pStyle w:val="11"/>
        <w:numPr>
          <w:ilvl w:val="2"/>
          <w:numId w:val="2"/>
        </w:numPr>
        <w:tabs>
          <w:tab w:val="left" w:pos="1068"/>
        </w:tabs>
        <w:spacing w:before="4" w:after="0" w:line="240" w:lineRule="auto"/>
        <w:ind w:left="1067" w:right="0" w:hanging="52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监督审核的实施</w:t>
      </w:r>
    </w:p>
    <w:p>
      <w:pPr>
        <w:pStyle w:val="4"/>
        <w:spacing w:before="14"/>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监督审核由</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根据认证认可相关规则进行策划，并派出审核组实施现场审核。</w:t>
      </w:r>
    </w:p>
    <w:p>
      <w:pPr>
        <w:pStyle w:val="4"/>
        <w:spacing w:before="11"/>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定期监督审核的现场审核计划由审核组长于审核实施前一周通知，以便获证组织做出安排。</w:t>
      </w:r>
    </w:p>
    <w:p>
      <w:pPr>
        <w:pStyle w:val="4"/>
        <w:spacing w:before="14" w:line="247" w:lineRule="auto"/>
        <w:ind w:right="245"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基于各种原因，如在正常监督审核时没有在建项目现场、生产现场，可向</w:t>
      </w:r>
      <w:r>
        <w:rPr>
          <w:rFonts w:hint="eastAsia" w:asciiTheme="majorEastAsia" w:hAnsiTheme="majorEastAsia" w:eastAsiaTheme="majorEastAsia" w:cstheme="majorEastAsia"/>
          <w:w w:val="95"/>
          <w:lang w:eastAsia="zh-CN"/>
        </w:rPr>
        <w:t>春晖国际认证</w:t>
      </w:r>
      <w:r>
        <w:rPr>
          <w:rFonts w:hint="eastAsia" w:asciiTheme="majorEastAsia" w:hAnsiTheme="majorEastAsia" w:eastAsiaTheme="majorEastAsia" w:cstheme="majorEastAsia"/>
          <w:w w:val="95"/>
        </w:rPr>
        <w:t>申请在两次常规审核之</w:t>
      </w:r>
      <w:r>
        <w:rPr>
          <w:rFonts w:hint="eastAsia" w:asciiTheme="majorEastAsia" w:hAnsiTheme="majorEastAsia" w:eastAsiaTheme="majorEastAsia" w:cstheme="majorEastAsia"/>
        </w:rPr>
        <w:t>间增加在建项目现场、生产现场的审核，否则两次监督如无有关现场，将导致缩减证书范围或影响证书整体的有效性。</w:t>
      </w:r>
    </w:p>
    <w:p>
      <w:pPr>
        <w:pStyle w:val="11"/>
        <w:numPr>
          <w:ilvl w:val="2"/>
          <w:numId w:val="2"/>
        </w:numPr>
        <w:tabs>
          <w:tab w:val="left" w:pos="1068"/>
        </w:tabs>
        <w:spacing w:before="4" w:after="0" w:line="240" w:lineRule="auto"/>
        <w:ind w:left="1067" w:right="0" w:hanging="52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监督审核的延期</w:t>
      </w:r>
    </w:p>
    <w:p>
      <w:pPr>
        <w:pStyle w:val="4"/>
        <w:spacing w:before="14" w:line="247" w:lineRule="auto"/>
        <w:ind w:right="248"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确因特殊原因，获证组织无法按时接受定期监督审核，可于定期监督时间之前，书面向</w:t>
      </w:r>
      <w:r>
        <w:rPr>
          <w:rFonts w:hint="eastAsia" w:asciiTheme="majorEastAsia" w:hAnsiTheme="majorEastAsia" w:eastAsiaTheme="majorEastAsia" w:cstheme="majorEastAsia"/>
          <w:w w:val="95"/>
          <w:lang w:eastAsia="zh-CN"/>
        </w:rPr>
        <w:t>春晖国际认证</w:t>
      </w:r>
      <w:r>
        <w:rPr>
          <w:rFonts w:hint="eastAsia" w:asciiTheme="majorEastAsia" w:hAnsiTheme="majorEastAsia" w:eastAsiaTheme="majorEastAsia" w:cstheme="majorEastAsia"/>
          <w:w w:val="95"/>
        </w:rPr>
        <w:t>提出延期</w:t>
      </w:r>
      <w:r>
        <w:rPr>
          <w:rFonts w:hint="eastAsia" w:asciiTheme="majorEastAsia" w:hAnsiTheme="majorEastAsia" w:eastAsiaTheme="majorEastAsia" w:cstheme="majorEastAsia"/>
        </w:rPr>
        <w:t>申请，</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将根据相关规则做出决定。</w:t>
      </w:r>
    </w:p>
    <w:p>
      <w:pPr>
        <w:pStyle w:val="4"/>
        <w:spacing w:before="1"/>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获证组织请慎重提出延期审核申请，有可能因为超期审核导致认证证书的暂停。</w:t>
      </w:r>
    </w:p>
    <w:p>
      <w:pPr>
        <w:pStyle w:val="11"/>
        <w:numPr>
          <w:ilvl w:val="1"/>
          <w:numId w:val="3"/>
        </w:numPr>
        <w:tabs>
          <w:tab w:val="left" w:pos="1050"/>
        </w:tabs>
        <w:spacing w:before="14" w:after="0" w:line="240" w:lineRule="auto"/>
        <w:ind w:left="1049" w:right="0" w:hanging="505"/>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见证评审</w:t>
      </w:r>
    </w:p>
    <w:p>
      <w:pPr>
        <w:pStyle w:val="4"/>
        <w:spacing w:before="11" w:line="249" w:lineRule="auto"/>
        <w:ind w:right="196"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根据双方合同及认可规则规定，拟取得或已获得带认可标志认证证书的组织有义务接受认可机构有选择性</w:t>
      </w:r>
      <w:r>
        <w:rPr>
          <w:rFonts w:hint="eastAsia" w:asciiTheme="majorEastAsia" w:hAnsiTheme="majorEastAsia" w:eastAsiaTheme="majorEastAsia" w:cstheme="majorEastAsia"/>
        </w:rPr>
        <w:t>的见证评审。见证评审人员开支和评审费由</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承担。</w:t>
      </w:r>
    </w:p>
    <w:p>
      <w:pPr>
        <w:pStyle w:val="11"/>
        <w:numPr>
          <w:ilvl w:val="1"/>
          <w:numId w:val="3"/>
        </w:numPr>
        <w:tabs>
          <w:tab w:val="left" w:pos="1050"/>
        </w:tabs>
        <w:spacing w:before="18" w:after="0" w:line="240" w:lineRule="auto"/>
        <w:ind w:left="1049" w:right="0" w:hanging="505"/>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特殊审核</w:t>
      </w:r>
    </w:p>
    <w:p>
      <w:pPr>
        <w:pStyle w:val="11"/>
        <w:numPr>
          <w:ilvl w:val="2"/>
          <w:numId w:val="3"/>
        </w:numPr>
        <w:tabs>
          <w:tab w:val="left" w:pos="1120"/>
        </w:tabs>
        <w:spacing w:before="11"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扩大认证范围</w:t>
      </w:r>
    </w:p>
    <w:p>
      <w:pPr>
        <w:pStyle w:val="4"/>
        <w:spacing w:before="14" w:line="249" w:lineRule="auto"/>
        <w:ind w:right="248"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rPr>
        <w:t>获证组织要求扩大认证范围时，应向</w:t>
      </w:r>
      <w:r>
        <w:rPr>
          <w:rFonts w:hint="eastAsia" w:asciiTheme="majorEastAsia" w:hAnsiTheme="majorEastAsia" w:eastAsiaTheme="majorEastAsia" w:cstheme="majorEastAsia"/>
          <w:spacing w:val="-4"/>
          <w:lang w:eastAsia="zh-CN"/>
        </w:rPr>
        <w:t>春晖国际认证</w:t>
      </w:r>
      <w:r>
        <w:rPr>
          <w:rFonts w:hint="eastAsia" w:asciiTheme="majorEastAsia" w:hAnsiTheme="majorEastAsia" w:eastAsiaTheme="majorEastAsia" w:cstheme="majorEastAsia"/>
          <w:spacing w:val="-4"/>
        </w:rPr>
        <w:t>提出书面申请，填写申请表、认证合同或《</w:t>
      </w:r>
      <w:r>
        <w:rPr>
          <w:rFonts w:hint="eastAsia" w:asciiTheme="majorEastAsia" w:hAnsiTheme="majorEastAsia" w:eastAsiaTheme="majorEastAsia" w:cstheme="majorEastAsia"/>
          <w:spacing w:val="-6"/>
        </w:rPr>
        <w:t xml:space="preserve"> 获证组织变更及其他信息通报表</w:t>
      </w:r>
      <w:r>
        <w:rPr>
          <w:rFonts w:hint="eastAsia" w:asciiTheme="majorEastAsia" w:hAnsiTheme="majorEastAsia" w:eastAsiaTheme="majorEastAsia" w:cstheme="majorEastAsia"/>
          <w:spacing w:val="-11"/>
        </w:rPr>
        <w:t>》，并提交所需要的信息和资料。</w:t>
      </w:r>
    </w:p>
    <w:p>
      <w:pPr>
        <w:pStyle w:val="4"/>
        <w:spacing w:line="249" w:lineRule="auto"/>
        <w:ind w:right="248"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6"/>
          <w:w w:val="95"/>
        </w:rPr>
        <w:t>经</w:t>
      </w:r>
      <w:r>
        <w:rPr>
          <w:rFonts w:hint="eastAsia" w:asciiTheme="majorEastAsia" w:hAnsiTheme="majorEastAsia" w:eastAsiaTheme="majorEastAsia" w:cstheme="majorEastAsia"/>
          <w:spacing w:val="-6"/>
          <w:w w:val="95"/>
          <w:lang w:eastAsia="zh-CN"/>
        </w:rPr>
        <w:t>春晖国际认证</w:t>
      </w:r>
      <w:r>
        <w:rPr>
          <w:rFonts w:hint="eastAsia" w:asciiTheme="majorEastAsia" w:hAnsiTheme="majorEastAsia" w:eastAsiaTheme="majorEastAsia" w:cstheme="majorEastAsia"/>
          <w:spacing w:val="-6"/>
          <w:w w:val="95"/>
        </w:rPr>
        <w:t>进行申请评审后，根据所扩大范围对管理体系的影响程度进行必要的审核方案策划和实施(可结</w:t>
      </w:r>
      <w:r>
        <w:rPr>
          <w:rFonts w:hint="eastAsia" w:asciiTheme="majorEastAsia" w:hAnsiTheme="majorEastAsia" w:eastAsiaTheme="majorEastAsia" w:cstheme="majorEastAsia"/>
          <w:spacing w:val="-10"/>
          <w:w w:val="95"/>
        </w:rPr>
        <w:t>合监督审核同时进行)，并经技术委员会作出认证决定后，换发新的扩大范围后的认证证书，有效期与原证书一</w:t>
      </w:r>
      <w:r>
        <w:rPr>
          <w:rFonts w:hint="eastAsia" w:asciiTheme="majorEastAsia" w:hAnsiTheme="majorEastAsia" w:eastAsiaTheme="majorEastAsia" w:cstheme="majorEastAsia"/>
          <w:spacing w:val="-10"/>
        </w:rPr>
        <w:t>致。</w:t>
      </w:r>
    </w:p>
    <w:p>
      <w:pPr>
        <w:pStyle w:val="11"/>
        <w:numPr>
          <w:ilvl w:val="2"/>
          <w:numId w:val="3"/>
        </w:numPr>
        <w:tabs>
          <w:tab w:val="left" w:pos="1120"/>
        </w:tabs>
        <w:spacing w:before="0" w:after="0" w:line="374" w:lineRule="exact"/>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提前较短时间通知的审核</w:t>
      </w:r>
    </w:p>
    <w:p>
      <w:pPr>
        <w:pStyle w:val="4"/>
        <w:spacing w:before="13" w:line="249" w:lineRule="auto"/>
        <w:ind w:right="245"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为调查投诉（或不良情况曝光</w:t>
      </w:r>
      <w:r>
        <w:rPr>
          <w:rFonts w:hint="eastAsia" w:asciiTheme="majorEastAsia" w:hAnsiTheme="majorEastAsia" w:eastAsiaTheme="majorEastAsia" w:cstheme="majorEastAsia"/>
          <w:spacing w:val="-101"/>
        </w:rPr>
        <w:t>）</w:t>
      </w:r>
      <w:r>
        <w:rPr>
          <w:rFonts w:hint="eastAsia" w:asciiTheme="majorEastAsia" w:hAnsiTheme="majorEastAsia" w:eastAsiaTheme="majorEastAsia" w:cstheme="majorEastAsia"/>
        </w:rPr>
        <w:t>、对变更做出回应或对被暂停的客户进行追踪，可能需要在提前较短时间通知获证客户或在不通知获证客户的情况下对其进行审核。</w:t>
      </w:r>
    </w:p>
    <w:p>
      <w:pPr>
        <w:pStyle w:val="4"/>
        <w:spacing w:before="8"/>
        <w:ind w:left="0" w:firstLine="0"/>
        <w:rPr>
          <w:rFonts w:hint="eastAsia" w:asciiTheme="majorEastAsia" w:hAnsiTheme="majorEastAsia" w:eastAsiaTheme="majorEastAsia" w:cstheme="majorEastAsia"/>
        </w:rPr>
      </w:pPr>
    </w:p>
    <w:p>
      <w:pPr>
        <w:spacing w:before="0"/>
        <w:ind w:left="544" w:right="0" w:firstLine="0"/>
        <w:jc w:val="left"/>
        <w:rPr>
          <w:rFonts w:hint="eastAsia" w:asciiTheme="majorEastAsia" w:hAnsiTheme="majorEastAsia" w:eastAsiaTheme="majorEastAsia" w:cstheme="majorEastAsia"/>
          <w:b/>
          <w:sz w:val="21"/>
        </w:rPr>
      </w:pPr>
      <w:bookmarkStart w:id="7" w:name="_bookmark4"/>
      <w:bookmarkEnd w:id="7"/>
      <w:bookmarkStart w:id="8" w:name="四、获证组织信息通报制度"/>
      <w:bookmarkEnd w:id="8"/>
      <w:r>
        <w:rPr>
          <w:rFonts w:hint="eastAsia" w:asciiTheme="majorEastAsia" w:hAnsiTheme="majorEastAsia" w:eastAsiaTheme="majorEastAsia" w:cstheme="majorEastAsia"/>
          <w:b/>
          <w:sz w:val="21"/>
        </w:rPr>
        <w:t>四、获证组织信息通报制度</w:t>
      </w:r>
    </w:p>
    <w:p>
      <w:pPr>
        <w:pStyle w:val="4"/>
        <w:spacing w:before="14" w:line="247" w:lineRule="auto"/>
        <w:ind w:right="248"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通报制度是</w:t>
      </w:r>
      <w:r>
        <w:rPr>
          <w:rFonts w:hint="eastAsia" w:asciiTheme="majorEastAsia" w:hAnsiTheme="majorEastAsia" w:eastAsiaTheme="majorEastAsia" w:cstheme="majorEastAsia"/>
          <w:w w:val="95"/>
          <w:lang w:eastAsia="zh-CN"/>
        </w:rPr>
        <w:t>春晖国际认证</w:t>
      </w:r>
      <w:r>
        <w:rPr>
          <w:rFonts w:hint="eastAsia" w:asciiTheme="majorEastAsia" w:hAnsiTheme="majorEastAsia" w:eastAsiaTheme="majorEastAsia" w:cstheme="majorEastAsia"/>
          <w:w w:val="95"/>
        </w:rPr>
        <w:t>与获证组织间进行沟通的一种手段，该制度要求获证组织必须保持与</w:t>
      </w:r>
      <w:r>
        <w:rPr>
          <w:rFonts w:hint="eastAsia" w:asciiTheme="majorEastAsia" w:hAnsiTheme="majorEastAsia" w:eastAsiaTheme="majorEastAsia" w:cstheme="majorEastAsia"/>
          <w:w w:val="95"/>
          <w:lang w:eastAsia="zh-CN"/>
        </w:rPr>
        <w:t>春晖国际认证</w:t>
      </w:r>
      <w:r>
        <w:rPr>
          <w:rFonts w:hint="eastAsia" w:asciiTheme="majorEastAsia" w:hAnsiTheme="majorEastAsia" w:eastAsiaTheme="majorEastAsia" w:cstheme="majorEastAsia"/>
          <w:w w:val="95"/>
        </w:rPr>
        <w:t>的联</w:t>
      </w:r>
      <w:r>
        <w:rPr>
          <w:rFonts w:hint="eastAsia" w:asciiTheme="majorEastAsia" w:hAnsiTheme="majorEastAsia" w:eastAsiaTheme="majorEastAsia" w:cstheme="majorEastAsia"/>
        </w:rPr>
        <w:t>络，以及时反映有关信息。</w:t>
      </w:r>
    </w:p>
    <w:p>
      <w:pPr>
        <w:pStyle w:val="4"/>
        <w:spacing w:before="2" w:line="249" w:lineRule="auto"/>
        <w:ind w:right="248"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rPr>
        <w:t>当有如下情况时，获证组织应在第一时间使用《</w:t>
      </w:r>
      <w:r>
        <w:rPr>
          <w:rFonts w:hint="eastAsia" w:asciiTheme="majorEastAsia" w:hAnsiTheme="majorEastAsia" w:eastAsiaTheme="majorEastAsia" w:cstheme="majorEastAsia"/>
          <w:spacing w:val="-7"/>
        </w:rPr>
        <w:t xml:space="preserve"> 获证组织变更及其他信息通报表</w:t>
      </w:r>
      <w:r>
        <w:rPr>
          <w:rFonts w:hint="eastAsia" w:asciiTheme="majorEastAsia" w:hAnsiTheme="majorEastAsia" w:eastAsiaTheme="majorEastAsia" w:cstheme="majorEastAsia"/>
        </w:rPr>
        <w:t>》或其他正式的方式与</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进行联系：</w:t>
      </w:r>
    </w:p>
    <w:p>
      <w:pPr>
        <w:pStyle w:val="11"/>
        <w:numPr>
          <w:ilvl w:val="0"/>
          <w:numId w:val="4"/>
        </w:numPr>
        <w:tabs>
          <w:tab w:val="left" w:pos="947"/>
          <w:tab w:val="left" w:pos="948"/>
        </w:tabs>
        <w:spacing w:before="0" w:after="0" w:line="249" w:lineRule="auto"/>
        <w:ind w:left="107" w:right="245"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引发或不引发生产/服务提供活动所在物理地址变更的：获证组织注册名称变更、注册地址称呼变更/ 生产地址场所变更；</w:t>
      </w:r>
    </w:p>
    <w:p>
      <w:pPr>
        <w:pStyle w:val="11"/>
        <w:numPr>
          <w:ilvl w:val="0"/>
          <w:numId w:val="4"/>
        </w:numPr>
        <w:tabs>
          <w:tab w:val="left" w:pos="947"/>
          <w:tab w:val="left" w:pos="948"/>
        </w:tabs>
        <w:spacing w:before="0" w:after="0" w:line="384" w:lineRule="exact"/>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管理体系覆盖的产品/服务范围变更；</w:t>
      </w:r>
    </w:p>
    <w:p>
      <w:pPr>
        <w:pStyle w:val="11"/>
        <w:numPr>
          <w:ilvl w:val="0"/>
          <w:numId w:val="4"/>
        </w:numPr>
        <w:tabs>
          <w:tab w:val="left" w:pos="947"/>
          <w:tab w:val="left" w:pos="948"/>
        </w:tabs>
        <w:spacing w:before="5"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行政许可资格、强制性认证或其他资质证书到期；</w:t>
      </w:r>
    </w:p>
    <w:p>
      <w:pPr>
        <w:pStyle w:val="11"/>
        <w:numPr>
          <w:ilvl w:val="0"/>
          <w:numId w:val="4"/>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从业人力资源、基础设施、组织机构、管理体系过程模式、经营状况发生重大本质性变更；</w:t>
      </w:r>
    </w:p>
    <w:p>
      <w:pPr>
        <w:pStyle w:val="11"/>
        <w:numPr>
          <w:ilvl w:val="0"/>
          <w:numId w:val="4"/>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部分主要人员变更，例如：法定代表人、最高管理者变更等；</w:t>
      </w:r>
    </w:p>
    <w:p>
      <w:pPr>
        <w:pStyle w:val="11"/>
        <w:numPr>
          <w:ilvl w:val="0"/>
          <w:numId w:val="4"/>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法律地位或所有权变更；</w:t>
      </w:r>
    </w:p>
    <w:p>
      <w:pPr>
        <w:pStyle w:val="11"/>
        <w:numPr>
          <w:ilvl w:val="0"/>
          <w:numId w:val="4"/>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其他影响管理体系运行的变更情况，如产品工艺环境重大变化信息；</w:t>
      </w:r>
    </w:p>
    <w:p>
      <w:pPr>
        <w:pStyle w:val="11"/>
        <w:numPr>
          <w:ilvl w:val="0"/>
          <w:numId w:val="4"/>
        </w:numPr>
        <w:tabs>
          <w:tab w:val="left" w:pos="947"/>
          <w:tab w:val="left" w:pos="948"/>
        </w:tabs>
        <w:spacing w:before="13"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其他不影响管理体系运行的变更情况，例如：组织机构代码变更为统一社会信用代码；</w:t>
      </w:r>
    </w:p>
    <w:p>
      <w:pPr>
        <w:pStyle w:val="11"/>
        <w:numPr>
          <w:ilvl w:val="0"/>
          <w:numId w:val="4"/>
        </w:numPr>
        <w:tabs>
          <w:tab w:val="left" w:pos="947"/>
          <w:tab w:val="left" w:pos="948"/>
        </w:tabs>
        <w:spacing w:before="1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停业或关闭、被注销或撤销法律地位证明文件；</w:t>
      </w:r>
    </w:p>
    <w:p>
      <w:pPr>
        <w:pStyle w:val="11"/>
        <w:numPr>
          <w:ilvl w:val="0"/>
          <w:numId w:val="4"/>
        </w:numPr>
        <w:tabs>
          <w:tab w:val="left" w:pos="948"/>
        </w:tabs>
        <w:spacing w:before="13"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被列入质量信用严重失信企业名单；</w:t>
      </w:r>
    </w:p>
    <w:p>
      <w:pPr>
        <w:pStyle w:val="11"/>
        <w:numPr>
          <w:ilvl w:val="0"/>
          <w:numId w:val="4"/>
        </w:numPr>
        <w:tabs>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8"/>
          <w:w w:val="99"/>
          <w:sz w:val="21"/>
        </w:rPr>
        <w:t>被政府列入“严重违法企业名单”；</w:t>
      </w:r>
    </w:p>
    <w:p>
      <w:pPr>
        <w:pStyle w:val="11"/>
        <w:numPr>
          <w:ilvl w:val="0"/>
          <w:numId w:val="4"/>
        </w:numPr>
        <w:tabs>
          <w:tab w:val="left" w:pos="948"/>
        </w:tabs>
        <w:spacing w:before="11" w:after="0" w:line="249" w:lineRule="auto"/>
        <w:ind w:left="107" w:right="247"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出现重大的产品和服务等质量安全、环境、生产安全卫生事故，经执法监管部门确认是获证组织违规造成；</w:t>
      </w:r>
    </w:p>
    <w:p>
      <w:pPr>
        <w:pStyle w:val="11"/>
        <w:numPr>
          <w:ilvl w:val="0"/>
          <w:numId w:val="4"/>
        </w:numPr>
        <w:tabs>
          <w:tab w:val="left" w:pos="948"/>
        </w:tabs>
        <w:spacing w:before="0" w:after="0" w:line="384" w:lineRule="exact"/>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有其他质量、食药、环境、安全卫生严重违反法律法规行为，被有关执法监管部门责令停业整顿；</w:t>
      </w:r>
    </w:p>
    <w:p>
      <w:pPr>
        <w:pStyle w:val="11"/>
        <w:numPr>
          <w:ilvl w:val="0"/>
          <w:numId w:val="4"/>
        </w:numPr>
        <w:tabs>
          <w:tab w:val="left" w:pos="948"/>
        </w:tabs>
        <w:spacing w:before="1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有其他质量、食药、环境、安全卫生违反法律法规行为，被有关执法监管部门行政处罚；</w:t>
      </w:r>
    </w:p>
    <w:p>
      <w:pPr>
        <w:pStyle w:val="11"/>
        <w:numPr>
          <w:ilvl w:val="0"/>
          <w:numId w:val="4"/>
        </w:numPr>
        <w:tabs>
          <w:tab w:val="left" w:pos="948"/>
        </w:tabs>
        <w:spacing w:before="13"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相关方重大投诉/媒体重大曝光；</w:t>
      </w:r>
    </w:p>
    <w:p>
      <w:pPr>
        <w:pStyle w:val="11"/>
        <w:numPr>
          <w:ilvl w:val="0"/>
          <w:numId w:val="4"/>
        </w:numPr>
        <w:tabs>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生产、销售的产品或提供的服务被质量或市场监管部门认定不合格。</w:t>
      </w:r>
    </w:p>
    <w:p>
      <w:pPr>
        <w:pStyle w:val="11"/>
        <w:numPr>
          <w:ilvl w:val="0"/>
          <w:numId w:val="4"/>
        </w:numPr>
        <w:tabs>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出口的产品因安全卫生方面的问题被进口国（地区）主管当局通报的。</w:t>
      </w:r>
    </w:p>
    <w:p>
      <w:pPr>
        <w:pStyle w:val="11"/>
        <w:numPr>
          <w:ilvl w:val="0"/>
          <w:numId w:val="4"/>
        </w:numPr>
        <w:tabs>
          <w:tab w:val="left" w:pos="948"/>
        </w:tabs>
        <w:spacing w:before="18"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所在发生有关重大动植物疫情的情况。</w:t>
      </w:r>
    </w:p>
    <w:p>
      <w:pPr>
        <w:pStyle w:val="11"/>
        <w:numPr>
          <w:ilvl w:val="0"/>
          <w:numId w:val="4"/>
        </w:numPr>
        <w:tabs>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不合格品召回/撤回及处理情况。</w:t>
      </w:r>
    </w:p>
    <w:p>
      <w:pPr>
        <w:pStyle w:val="11"/>
        <w:numPr>
          <w:ilvl w:val="0"/>
          <w:numId w:val="4"/>
        </w:numPr>
        <w:tabs>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其他重要信息。</w:t>
      </w:r>
    </w:p>
    <w:p>
      <w:pPr>
        <w:pStyle w:val="4"/>
        <w:spacing w:before="14" w:line="247" w:lineRule="auto"/>
        <w:ind w:right="248"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总体来说，可能影响到管理体系运行及其有效性的信息，都应在通报的范围之内。</w:t>
      </w:r>
      <w:r>
        <w:rPr>
          <w:rFonts w:hint="eastAsia" w:asciiTheme="majorEastAsia" w:hAnsiTheme="majorEastAsia" w:eastAsiaTheme="majorEastAsia" w:cstheme="majorEastAsia"/>
          <w:w w:val="95"/>
          <w:lang w:eastAsia="zh-CN"/>
        </w:rPr>
        <w:t>春晖国际认证</w:t>
      </w:r>
      <w:r>
        <w:rPr>
          <w:rFonts w:hint="eastAsia" w:asciiTheme="majorEastAsia" w:hAnsiTheme="majorEastAsia" w:eastAsiaTheme="majorEastAsia" w:cstheme="majorEastAsia"/>
          <w:w w:val="95"/>
        </w:rPr>
        <w:t>将根据有关规</w:t>
      </w:r>
      <w:r>
        <w:rPr>
          <w:rFonts w:hint="eastAsia" w:asciiTheme="majorEastAsia" w:hAnsiTheme="majorEastAsia" w:eastAsiaTheme="majorEastAsia" w:cstheme="majorEastAsia"/>
        </w:rPr>
        <w:t>则对获证组织的变更和信息进行分析和处理。</w:t>
      </w:r>
    </w:p>
    <w:p>
      <w:pPr>
        <w:pStyle w:val="4"/>
        <w:spacing w:before="1"/>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书面报告的内容包括情况说明、原因，已采取或拟采取的必要措施及效果等。</w:t>
      </w:r>
    </w:p>
    <w:p>
      <w:pPr>
        <w:pStyle w:val="4"/>
        <w:spacing w:before="7"/>
        <w:ind w:left="0" w:firstLine="0"/>
        <w:rPr>
          <w:rFonts w:hint="eastAsia" w:asciiTheme="majorEastAsia" w:hAnsiTheme="majorEastAsia" w:eastAsiaTheme="majorEastAsia" w:cstheme="majorEastAsia"/>
          <w:sz w:val="22"/>
        </w:rPr>
      </w:pPr>
    </w:p>
    <w:p>
      <w:pPr>
        <w:spacing w:before="0"/>
        <w:ind w:left="544" w:right="0" w:firstLine="0"/>
        <w:jc w:val="left"/>
        <w:rPr>
          <w:rFonts w:hint="eastAsia" w:asciiTheme="majorEastAsia" w:hAnsiTheme="majorEastAsia" w:eastAsiaTheme="majorEastAsia" w:cstheme="majorEastAsia"/>
          <w:b/>
          <w:sz w:val="21"/>
        </w:rPr>
      </w:pPr>
      <w:bookmarkStart w:id="9" w:name="五、保持认证注册的条件"/>
      <w:bookmarkEnd w:id="9"/>
      <w:bookmarkStart w:id="10" w:name="_bookmark5"/>
      <w:bookmarkEnd w:id="10"/>
      <w:r>
        <w:rPr>
          <w:rFonts w:hint="eastAsia" w:asciiTheme="majorEastAsia" w:hAnsiTheme="majorEastAsia" w:eastAsiaTheme="majorEastAsia" w:cstheme="majorEastAsia"/>
          <w:b/>
          <w:sz w:val="21"/>
        </w:rPr>
        <w:t>五、保持认证注册的条件</w:t>
      </w:r>
    </w:p>
    <w:p>
      <w:pPr>
        <w:pStyle w:val="4"/>
        <w:spacing w:before="14"/>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获证组织应在不出现本文第九条所述情况的条件下方可保持认证注册。</w:t>
      </w:r>
    </w:p>
    <w:p>
      <w:pPr>
        <w:pStyle w:val="4"/>
        <w:spacing w:before="6"/>
        <w:ind w:left="0" w:firstLine="0"/>
        <w:rPr>
          <w:rFonts w:hint="eastAsia" w:asciiTheme="majorEastAsia" w:hAnsiTheme="majorEastAsia" w:eastAsiaTheme="majorEastAsia" w:cstheme="majorEastAsia"/>
          <w:sz w:val="22"/>
        </w:rPr>
      </w:pPr>
    </w:p>
    <w:p>
      <w:pPr>
        <w:spacing w:before="0" w:line="364" w:lineRule="exact"/>
        <w:ind w:left="544" w:right="0" w:firstLine="0"/>
        <w:jc w:val="left"/>
        <w:rPr>
          <w:rFonts w:hint="eastAsia" w:asciiTheme="majorEastAsia" w:hAnsiTheme="majorEastAsia" w:eastAsiaTheme="majorEastAsia" w:cstheme="majorEastAsia"/>
          <w:b/>
          <w:sz w:val="21"/>
        </w:rPr>
      </w:pPr>
      <w:bookmarkStart w:id="11" w:name="_bookmark6"/>
      <w:bookmarkEnd w:id="11"/>
      <w:bookmarkStart w:id="12" w:name="六、投诉／申诉／争议"/>
      <w:bookmarkEnd w:id="12"/>
      <w:r>
        <w:rPr>
          <w:rFonts w:hint="eastAsia" w:asciiTheme="majorEastAsia" w:hAnsiTheme="majorEastAsia" w:eastAsiaTheme="majorEastAsia" w:cstheme="majorEastAsia"/>
          <w:b/>
          <w:sz w:val="21"/>
        </w:rPr>
        <w:t>六、投诉／申诉／争议</w:t>
      </w:r>
    </w:p>
    <w:p>
      <w:pPr>
        <w:pStyle w:val="4"/>
        <w:spacing w:line="364" w:lineRule="exact"/>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处理申诉、投诉和争议应以事实为依据，以国家相关法律法规及认可规范为准则。</w:t>
      </w:r>
    </w:p>
    <w:p>
      <w:pPr>
        <w:pStyle w:val="4"/>
        <w:spacing w:before="14" w:line="247" w:lineRule="auto"/>
        <w:ind w:right="245"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对投诉、申诉和争议进行适当处理将维护对认证活动的信任。</w:t>
      </w:r>
      <w:r>
        <w:rPr>
          <w:rFonts w:hint="eastAsia" w:asciiTheme="majorEastAsia" w:hAnsiTheme="majorEastAsia" w:eastAsiaTheme="majorEastAsia" w:cstheme="majorEastAsia"/>
          <w:w w:val="95"/>
          <w:lang w:eastAsia="zh-CN"/>
        </w:rPr>
        <w:t>春晖国际认证</w:t>
      </w:r>
      <w:r>
        <w:rPr>
          <w:rFonts w:hint="eastAsia" w:asciiTheme="majorEastAsia" w:hAnsiTheme="majorEastAsia" w:eastAsiaTheme="majorEastAsia" w:cstheme="majorEastAsia"/>
          <w:w w:val="95"/>
        </w:rPr>
        <w:t>应当使依赖认证的各方相信，在经</w:t>
      </w:r>
      <w:r>
        <w:rPr>
          <w:rFonts w:hint="eastAsia" w:asciiTheme="majorEastAsia" w:hAnsiTheme="majorEastAsia" w:eastAsiaTheme="majorEastAsia" w:cstheme="majorEastAsia"/>
        </w:rPr>
        <w:t>查明后，</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将对投诉、申诉和争议进行适当的处理，并为解决投诉、申诉和争议做出适当的努力。当投诉、申诉和争议表明出现错误、疏忽或不合理行为时，对投诉、申诉和争议做出有效回应是保护获证组织和其他认证使用方的重要手段。</w:t>
      </w:r>
    </w:p>
    <w:p>
      <w:pPr>
        <w:pStyle w:val="4"/>
        <w:spacing w:before="4" w:line="249" w:lineRule="auto"/>
        <w:ind w:right="141" w:firstLine="436"/>
        <w:jc w:val="both"/>
        <w:rPr>
          <w:rFonts w:hint="eastAsia" w:asciiTheme="majorEastAsia" w:hAnsiTheme="majorEastAsia" w:eastAsiaTheme="majorEastAsia" w:cstheme="majorEastAsia"/>
          <w:spacing w:val="-5"/>
        </w:rPr>
      </w:pPr>
      <w:r>
        <w:rPr>
          <w:rFonts w:hint="eastAsia" w:asciiTheme="majorEastAsia" w:hAnsiTheme="majorEastAsia" w:eastAsiaTheme="majorEastAsia" w:cstheme="majorEastAsia"/>
        </w:rPr>
        <w:t>参与受理和评价投诉、申诉和争议并对之做出决定的过程的人员，对于该过程涉及申诉人/投诉人和投诉、</w:t>
      </w:r>
      <w:r>
        <w:rPr>
          <w:rFonts w:hint="eastAsia" w:asciiTheme="majorEastAsia" w:hAnsiTheme="majorEastAsia" w:eastAsiaTheme="majorEastAsia" w:cstheme="majorEastAsia"/>
          <w:spacing w:val="-5"/>
          <w:w w:val="95"/>
        </w:rPr>
        <w:t>申诉和争议事项的方面应满足保密要求。参与申诉、投诉、争议处理工作的所有工作人员，均应保持客观公正。</w:t>
      </w:r>
      <w:r>
        <w:rPr>
          <w:rFonts w:hint="eastAsia" w:asciiTheme="majorEastAsia" w:hAnsiTheme="majorEastAsia" w:eastAsiaTheme="majorEastAsia" w:cstheme="majorEastAsia"/>
          <w:spacing w:val="-5"/>
        </w:rPr>
        <w:t>与申诉、投诉、争议有直接利害关系的工作人员，均应回避相关处理工作。</w:t>
      </w:r>
    </w:p>
    <w:p>
      <w:pPr>
        <w:pStyle w:val="4"/>
        <w:spacing w:before="4" w:line="249" w:lineRule="auto"/>
        <w:ind w:right="141" w:firstLine="436"/>
        <w:jc w:val="both"/>
        <w:rPr>
          <w:rFonts w:hint="eastAsia" w:asciiTheme="majorEastAsia" w:hAnsiTheme="majorEastAsia" w:eastAsiaTheme="majorEastAsia" w:cstheme="majorEastAsia"/>
          <w:spacing w:val="-5"/>
        </w:rPr>
      </w:pPr>
    </w:p>
    <w:p>
      <w:pPr>
        <w:pStyle w:val="11"/>
        <w:numPr>
          <w:ilvl w:val="1"/>
          <w:numId w:val="5"/>
        </w:numPr>
        <w:tabs>
          <w:tab w:val="left" w:pos="892"/>
        </w:tabs>
        <w:spacing w:before="52" w:after="0" w:line="240" w:lineRule="auto"/>
        <w:ind w:left="892" w:right="0" w:hanging="348"/>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申诉的处理</w:t>
      </w:r>
    </w:p>
    <w:p>
      <w:pPr>
        <w:pStyle w:val="11"/>
        <w:numPr>
          <w:ilvl w:val="2"/>
          <w:numId w:val="5"/>
        </w:numPr>
        <w:tabs>
          <w:tab w:val="left" w:pos="1070"/>
        </w:tabs>
        <w:spacing w:before="14" w:after="0" w:line="249" w:lineRule="auto"/>
        <w:ind w:left="107" w:right="248"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申诉是指申请方或获证组织对</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做出的、与其期望的认证状态有关的不利决定所提出的重新考虑的书面请求。</w:t>
      </w:r>
    </w:p>
    <w:p>
      <w:pPr>
        <w:pStyle w:val="4"/>
        <w:spacing w:line="249" w:lineRule="auto"/>
        <w:ind w:right="243"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注：不利决定包括：拒绝接受申请、拒绝继续进行审核，要求采取纠正措施，变更认证范围，不予认证，</w:t>
      </w:r>
      <w:r>
        <w:rPr>
          <w:rFonts w:hint="eastAsia" w:asciiTheme="majorEastAsia" w:hAnsiTheme="majorEastAsia" w:eastAsiaTheme="majorEastAsia" w:cstheme="majorEastAsia"/>
        </w:rPr>
        <w:t>暂停或撤销认证、阻碍获得认证的任何其他措施。</w:t>
      </w:r>
    </w:p>
    <w:p>
      <w:pPr>
        <w:pStyle w:val="11"/>
        <w:numPr>
          <w:ilvl w:val="2"/>
          <w:numId w:val="5"/>
        </w:numPr>
        <w:tabs>
          <w:tab w:val="left" w:pos="1120"/>
        </w:tabs>
        <w:spacing w:before="0" w:after="0" w:line="359" w:lineRule="exact"/>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申诉受理的范围</w:t>
      </w:r>
    </w:p>
    <w:p>
      <w:pPr>
        <w:pStyle w:val="11"/>
        <w:numPr>
          <w:ilvl w:val="0"/>
          <w:numId w:val="6"/>
        </w:numPr>
        <w:tabs>
          <w:tab w:val="left" w:pos="947"/>
          <w:tab w:val="left" w:pos="948"/>
        </w:tabs>
        <w:spacing w:before="0" w:after="0" w:line="363" w:lineRule="exact"/>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拒绝接受申请；</w:t>
      </w:r>
    </w:p>
    <w:p>
      <w:pPr>
        <w:pStyle w:val="11"/>
        <w:numPr>
          <w:ilvl w:val="0"/>
          <w:numId w:val="6"/>
        </w:numPr>
        <w:tabs>
          <w:tab w:val="left" w:pos="947"/>
          <w:tab w:val="left" w:pos="948"/>
        </w:tabs>
        <w:spacing w:before="8"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拒绝继续进行审核；</w:t>
      </w:r>
    </w:p>
    <w:p>
      <w:pPr>
        <w:pStyle w:val="11"/>
        <w:numPr>
          <w:ilvl w:val="0"/>
          <w:numId w:val="6"/>
        </w:numPr>
        <w:tabs>
          <w:tab w:val="left" w:pos="947"/>
          <w:tab w:val="left" w:pos="948"/>
        </w:tabs>
        <w:spacing w:before="13"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要求采取纠正措施；</w:t>
      </w:r>
    </w:p>
    <w:p>
      <w:pPr>
        <w:pStyle w:val="11"/>
        <w:numPr>
          <w:ilvl w:val="0"/>
          <w:numId w:val="6"/>
        </w:numPr>
        <w:tabs>
          <w:tab w:val="left" w:pos="947"/>
          <w:tab w:val="left" w:pos="948"/>
        </w:tabs>
        <w:spacing w:before="1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变更认证范围；</w:t>
      </w:r>
    </w:p>
    <w:p>
      <w:pPr>
        <w:pStyle w:val="11"/>
        <w:numPr>
          <w:ilvl w:val="0"/>
          <w:numId w:val="6"/>
        </w:numPr>
        <w:tabs>
          <w:tab w:val="left" w:pos="947"/>
          <w:tab w:val="left" w:pos="948"/>
        </w:tabs>
        <w:spacing w:before="13"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不予认证，暂停或撤销认证；</w:t>
      </w:r>
    </w:p>
    <w:p>
      <w:pPr>
        <w:pStyle w:val="11"/>
        <w:numPr>
          <w:ilvl w:val="0"/>
          <w:numId w:val="6"/>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阻碍获得认证的任何其他措施。</w:t>
      </w:r>
    </w:p>
    <w:p>
      <w:pPr>
        <w:pStyle w:val="11"/>
        <w:numPr>
          <w:ilvl w:val="2"/>
          <w:numId w:val="5"/>
        </w:numPr>
        <w:tabs>
          <w:tab w:val="left" w:pos="1120"/>
        </w:tabs>
        <w:spacing w:before="11"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申诉人应向</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提出申诉，有效的申诉应同时符合以下条件</w:t>
      </w:r>
    </w:p>
    <w:p>
      <w:pPr>
        <w:pStyle w:val="11"/>
        <w:numPr>
          <w:ilvl w:val="0"/>
          <w:numId w:val="7"/>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申诉应以书面形式提出；</w:t>
      </w:r>
    </w:p>
    <w:p>
      <w:pPr>
        <w:pStyle w:val="11"/>
        <w:numPr>
          <w:ilvl w:val="0"/>
          <w:numId w:val="7"/>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应由申诉人签字和盖章；</w:t>
      </w:r>
    </w:p>
    <w:p>
      <w:pPr>
        <w:pStyle w:val="11"/>
        <w:numPr>
          <w:ilvl w:val="0"/>
          <w:numId w:val="7"/>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申诉人应是申诉事宜的直接相关方；</w:t>
      </w:r>
    </w:p>
    <w:p>
      <w:pPr>
        <w:pStyle w:val="11"/>
        <w:numPr>
          <w:ilvl w:val="0"/>
          <w:numId w:val="7"/>
        </w:numPr>
        <w:tabs>
          <w:tab w:val="left" w:pos="947"/>
          <w:tab w:val="left" w:pos="948"/>
        </w:tabs>
        <w:spacing w:before="18"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1"/>
          <w:sz w:val="21"/>
        </w:rPr>
        <w:t xml:space="preserve">申诉的提出与收到相关决定或处理措施的时间间隔不超过 </w:t>
      </w:r>
      <w:r>
        <w:rPr>
          <w:rFonts w:hint="eastAsia" w:asciiTheme="majorEastAsia" w:hAnsiTheme="majorEastAsia" w:eastAsiaTheme="majorEastAsia" w:cstheme="majorEastAsia"/>
          <w:sz w:val="21"/>
        </w:rPr>
        <w:t>10</w:t>
      </w:r>
      <w:r>
        <w:rPr>
          <w:rFonts w:hint="eastAsia" w:asciiTheme="majorEastAsia" w:hAnsiTheme="majorEastAsia" w:eastAsiaTheme="majorEastAsia" w:cstheme="majorEastAsia"/>
          <w:spacing w:val="-3"/>
          <w:sz w:val="21"/>
        </w:rPr>
        <w:t xml:space="preserve"> 个工作日；</w:t>
      </w:r>
    </w:p>
    <w:p>
      <w:pPr>
        <w:pStyle w:val="11"/>
        <w:numPr>
          <w:ilvl w:val="0"/>
          <w:numId w:val="7"/>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2"/>
          <w:sz w:val="21"/>
        </w:rPr>
        <w:t xml:space="preserve">缴纳申诉保证金 </w:t>
      </w:r>
      <w:r>
        <w:rPr>
          <w:rFonts w:hint="eastAsia" w:asciiTheme="majorEastAsia" w:hAnsiTheme="majorEastAsia" w:eastAsiaTheme="majorEastAsia" w:cstheme="majorEastAsia"/>
          <w:sz w:val="21"/>
        </w:rPr>
        <w:t>2000</w:t>
      </w:r>
      <w:r>
        <w:rPr>
          <w:rFonts w:hint="eastAsia" w:asciiTheme="majorEastAsia" w:hAnsiTheme="majorEastAsia" w:eastAsiaTheme="majorEastAsia" w:cstheme="majorEastAsia"/>
          <w:spacing w:val="-3"/>
          <w:sz w:val="21"/>
        </w:rPr>
        <w:t xml:space="preserve"> 元。</w:t>
      </w:r>
    </w:p>
    <w:p>
      <w:pPr>
        <w:pStyle w:val="11"/>
        <w:numPr>
          <w:ilvl w:val="2"/>
          <w:numId w:val="5"/>
        </w:numPr>
        <w:tabs>
          <w:tab w:val="left" w:pos="1120"/>
        </w:tabs>
        <w:spacing w:before="14"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申诉的受理</w:t>
      </w:r>
    </w:p>
    <w:p>
      <w:pPr>
        <w:pStyle w:val="4"/>
        <w:spacing w:before="14" w:line="247" w:lineRule="auto"/>
        <w:ind w:right="245"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客户服务部接受申诉人的申诉后，填写《投诉和申诉处理表》，并进行初步审查后提交技术委员会。技委</w:t>
      </w:r>
      <w:r>
        <w:rPr>
          <w:rFonts w:hint="eastAsia" w:asciiTheme="majorEastAsia" w:hAnsiTheme="majorEastAsia" w:eastAsiaTheme="majorEastAsia" w:cstheme="majorEastAsia"/>
          <w:spacing w:val="-2"/>
        </w:rPr>
        <w:t>会对申诉材料的有效性审查，并将申诉的受理情况通知申请人。</w:t>
      </w:r>
    </w:p>
    <w:p>
      <w:pPr>
        <w:pStyle w:val="11"/>
        <w:numPr>
          <w:ilvl w:val="2"/>
          <w:numId w:val="5"/>
        </w:numPr>
        <w:tabs>
          <w:tab w:val="left" w:pos="1120"/>
        </w:tabs>
        <w:spacing w:before="3"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调查与处理：</w:t>
      </w:r>
    </w:p>
    <w:p>
      <w:pPr>
        <w:pStyle w:val="4"/>
        <w:spacing w:before="14" w:line="247" w:lineRule="auto"/>
        <w:ind w:right="245"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技术委员会主任根据申诉内容，必要时向公正性委员会主任汇报，并在一周内组织与申诉对象无利害关系</w:t>
      </w:r>
      <w:r>
        <w:rPr>
          <w:rFonts w:hint="eastAsia" w:asciiTheme="majorEastAsia" w:hAnsiTheme="majorEastAsia" w:eastAsiaTheme="majorEastAsia" w:cstheme="majorEastAsia"/>
        </w:rPr>
        <w:t>的人员组成工作组，负责调查。必要时召集听证会议，听取双方陈述。需要召开听证会时，技术委员会主任负责召集听证会议，会议前，至少提前 10 个工作日将会议的时间和地点通知申诉人和申诉处理工作组。申诉处理工作组和申诉人均有权在不迟于听证会议召开前 5 个工作日提出有关的证人姓名和地址。在调查完成后，工作组应参考以前类似申诉的结果，客观公正地提交书面报告，并提出拟定采取何种措施以回应申诉的建议。</w:t>
      </w:r>
    </w:p>
    <w:p>
      <w:pPr>
        <w:pStyle w:val="11"/>
        <w:numPr>
          <w:ilvl w:val="2"/>
          <w:numId w:val="5"/>
        </w:numPr>
        <w:tabs>
          <w:tab w:val="left" w:pos="1120"/>
        </w:tabs>
        <w:spacing w:before="0" w:after="0" w:line="381" w:lineRule="exact"/>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申诉的裁定</w:t>
      </w:r>
    </w:p>
    <w:p>
      <w:pPr>
        <w:pStyle w:val="4"/>
        <w:spacing w:before="14" w:line="247" w:lineRule="auto"/>
        <w:ind w:right="141"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rPr>
        <w:t>技术委员会主任召开会议讨论裁定意见，裁定结论对各方均有约束力。如果技委会不能就申诉裁定形成决</w:t>
      </w:r>
      <w:r>
        <w:rPr>
          <w:rFonts w:hint="eastAsia" w:asciiTheme="majorEastAsia" w:hAnsiTheme="majorEastAsia" w:eastAsiaTheme="majorEastAsia" w:cstheme="majorEastAsia"/>
          <w:spacing w:val="-9"/>
          <w:w w:val="95"/>
        </w:rPr>
        <w:t>议，可将意见提交</w:t>
      </w:r>
      <w:r>
        <w:rPr>
          <w:rFonts w:hint="eastAsia" w:asciiTheme="majorEastAsia" w:hAnsiTheme="majorEastAsia" w:eastAsiaTheme="majorEastAsia" w:cstheme="majorEastAsia"/>
          <w:spacing w:val="-9"/>
          <w:w w:val="95"/>
          <w:lang w:eastAsia="zh-CN"/>
        </w:rPr>
        <w:t>春晖国际认证</w:t>
      </w:r>
      <w:r>
        <w:rPr>
          <w:rFonts w:hint="eastAsia" w:asciiTheme="majorEastAsia" w:hAnsiTheme="majorEastAsia" w:eastAsiaTheme="majorEastAsia" w:cstheme="majorEastAsia"/>
          <w:spacing w:val="-9"/>
          <w:w w:val="95"/>
        </w:rPr>
        <w:t>公正性委员会，通过会议或函审的方式作出最终决定。若裁定不能形成多数意见时，</w:t>
      </w:r>
      <w:r>
        <w:rPr>
          <w:rFonts w:hint="eastAsia" w:asciiTheme="majorEastAsia" w:hAnsiTheme="majorEastAsia" w:eastAsiaTheme="majorEastAsia" w:cstheme="majorEastAsia"/>
          <w:spacing w:val="-9"/>
        </w:rPr>
        <w:t>裁定应当按照技术委员会主任意见执行。对申诉的决定应由与申诉事项无关的人员做出，并应告知申诉人。</w:t>
      </w:r>
    </w:p>
    <w:p>
      <w:pPr>
        <w:pStyle w:val="11"/>
        <w:numPr>
          <w:ilvl w:val="2"/>
          <w:numId w:val="5"/>
        </w:numPr>
        <w:tabs>
          <w:tab w:val="left" w:pos="1120"/>
        </w:tabs>
        <w:spacing w:before="4"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申诉裁定的执行</w:t>
      </w:r>
    </w:p>
    <w:p>
      <w:pPr>
        <w:pStyle w:val="4"/>
        <w:spacing w:before="13" w:line="247" w:lineRule="auto"/>
        <w:ind w:right="248"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lang w:eastAsia="zh-CN"/>
        </w:rPr>
        <w:t>市场营销部</w:t>
      </w:r>
      <w:r>
        <w:rPr>
          <w:rFonts w:hint="eastAsia" w:asciiTheme="majorEastAsia" w:hAnsiTheme="majorEastAsia" w:eastAsiaTheme="majorEastAsia" w:cstheme="majorEastAsia"/>
          <w:w w:val="95"/>
        </w:rPr>
        <w:t>根据技委会提出的裁定意见负责组织实施，跟踪和记录，包括为解决申诉而采取的措施，向申诉人</w:t>
      </w:r>
      <w:r>
        <w:rPr>
          <w:rFonts w:hint="eastAsia" w:asciiTheme="majorEastAsia" w:hAnsiTheme="majorEastAsia" w:eastAsiaTheme="majorEastAsia" w:cstheme="majorEastAsia"/>
        </w:rPr>
        <w:t>提供申诉处理的进展报告和结果。</w:t>
      </w:r>
    </w:p>
    <w:p>
      <w:pPr>
        <w:pStyle w:val="4"/>
        <w:spacing w:before="2"/>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应在申诉处理过程结束时正式书面通知申诉人。</w:t>
      </w:r>
    </w:p>
    <w:p>
      <w:pPr>
        <w:pStyle w:val="4"/>
        <w:spacing w:before="14"/>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申诉应在受理后 60 日内处理完，并将处理结果书面通知申请人，需延期时经技术委员会主任批准。</w:t>
      </w:r>
    </w:p>
    <w:p>
      <w:pPr>
        <w:pStyle w:val="4"/>
        <w:spacing w:before="11"/>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如申诉人对处理结果不满，可在接到申诉结果 10 个工作日内向公正性委员会或认可方,CNCA 再次提出申诉。</w:t>
      </w:r>
    </w:p>
    <w:p>
      <w:pPr>
        <w:pStyle w:val="11"/>
        <w:numPr>
          <w:ilvl w:val="2"/>
          <w:numId w:val="5"/>
        </w:numPr>
        <w:tabs>
          <w:tab w:val="left" w:pos="1120"/>
        </w:tabs>
        <w:spacing w:before="13"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费用</w:t>
      </w:r>
    </w:p>
    <w:p>
      <w:pPr>
        <w:pStyle w:val="4"/>
        <w:spacing w:before="12"/>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申诉处理的合理费用由双方按照在申诉过程事项中所承担的责任承担。</w:t>
      </w:r>
    </w:p>
    <w:p>
      <w:pPr>
        <w:pStyle w:val="11"/>
        <w:numPr>
          <w:ilvl w:val="1"/>
          <w:numId w:val="8"/>
        </w:numPr>
        <w:tabs>
          <w:tab w:val="left" w:pos="945"/>
        </w:tabs>
        <w:spacing w:before="14" w:after="0" w:line="240" w:lineRule="auto"/>
        <w:ind w:left="944" w:right="0" w:hanging="400"/>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投诉</w:t>
      </w:r>
    </w:p>
    <w:p>
      <w:pPr>
        <w:pStyle w:val="11"/>
        <w:numPr>
          <w:ilvl w:val="2"/>
          <w:numId w:val="8"/>
        </w:numPr>
        <w:tabs>
          <w:tab w:val="left" w:pos="1120"/>
        </w:tabs>
        <w:spacing w:before="13" w:after="0" w:line="240" w:lineRule="auto"/>
        <w:ind w:left="1120" w:right="0" w:hanging="576"/>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rPr>
        <w:t>投诉是指任何组织或个人向</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表达的、有别于申诉并希望得到答复的、对</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或其获证</w:t>
      </w:r>
      <w:r>
        <w:rPr>
          <w:rFonts w:hint="eastAsia" w:asciiTheme="majorEastAsia" w:hAnsiTheme="majorEastAsia" w:eastAsiaTheme="majorEastAsia" w:cstheme="majorEastAsia"/>
        </w:rPr>
        <w:t>组织的活动不满的书面表示。投诉应以书面形式就投诉所涉及事件向</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提出，并提供详细资料。通常情况下</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对匿名投诉不予受理。</w:t>
      </w:r>
    </w:p>
    <w:p>
      <w:pPr>
        <w:pStyle w:val="11"/>
        <w:numPr>
          <w:ilvl w:val="2"/>
          <w:numId w:val="8"/>
        </w:numPr>
        <w:tabs>
          <w:tab w:val="left" w:pos="1120"/>
        </w:tabs>
        <w:spacing w:before="0" w:after="0" w:line="384" w:lineRule="exact"/>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投诉的范围</w:t>
      </w:r>
    </w:p>
    <w:p>
      <w:pPr>
        <w:pStyle w:val="11"/>
        <w:numPr>
          <w:ilvl w:val="0"/>
          <w:numId w:val="9"/>
        </w:numPr>
        <w:tabs>
          <w:tab w:val="left" w:pos="947"/>
          <w:tab w:val="left" w:pos="948"/>
        </w:tabs>
        <w:spacing w:before="11" w:after="0" w:line="249" w:lineRule="auto"/>
        <w:ind w:left="107" w:right="245"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认为</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或认证人员在认证活动中违反国家法律、法规和规章及</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认证规则和《公正性和保密性承诺》；</w:t>
      </w:r>
    </w:p>
    <w:p>
      <w:pPr>
        <w:pStyle w:val="11"/>
        <w:numPr>
          <w:ilvl w:val="0"/>
          <w:numId w:val="9"/>
        </w:numPr>
        <w:tabs>
          <w:tab w:val="left" w:pos="947"/>
          <w:tab w:val="left" w:pos="948"/>
        </w:tabs>
        <w:spacing w:before="0" w:after="0" w:line="384" w:lineRule="exact"/>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对认证人员的职业道德不满，对</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的服务质量不满；</w:t>
      </w:r>
    </w:p>
    <w:p>
      <w:pPr>
        <w:pStyle w:val="11"/>
        <w:numPr>
          <w:ilvl w:val="0"/>
          <w:numId w:val="9"/>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认为认证人员泄露了客户有关机密或由此对客户造成了损害；</w:t>
      </w:r>
    </w:p>
    <w:p>
      <w:pPr>
        <w:pStyle w:val="11"/>
        <w:numPr>
          <w:ilvl w:val="0"/>
          <w:numId w:val="9"/>
        </w:numPr>
        <w:tabs>
          <w:tab w:val="left" w:pos="947"/>
          <w:tab w:val="left" w:pos="948"/>
        </w:tabs>
        <w:spacing w:before="18"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使人对获证组织的管理体系实现预期结果的能力产生重大怀疑的情况；</w:t>
      </w:r>
    </w:p>
    <w:p>
      <w:pPr>
        <w:pStyle w:val="11"/>
        <w:numPr>
          <w:ilvl w:val="0"/>
          <w:numId w:val="9"/>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获证组织发生重大质量、安全、环境事故；</w:t>
      </w:r>
    </w:p>
    <w:p>
      <w:pPr>
        <w:pStyle w:val="11"/>
        <w:numPr>
          <w:ilvl w:val="0"/>
          <w:numId w:val="9"/>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其他，如媒体曝光。</w:t>
      </w:r>
    </w:p>
    <w:p>
      <w:pPr>
        <w:pStyle w:val="11"/>
        <w:numPr>
          <w:ilvl w:val="2"/>
          <w:numId w:val="8"/>
        </w:numPr>
        <w:tabs>
          <w:tab w:val="left" w:pos="1120"/>
        </w:tabs>
        <w:spacing w:before="14"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投诉的受理</w:t>
      </w:r>
    </w:p>
    <w:p>
      <w:pPr>
        <w:pStyle w:val="4"/>
        <w:spacing w:before="11" w:line="249" w:lineRule="auto"/>
        <w:ind w:right="246"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客户服务部接受投诉人的投诉后，填写《投诉和申诉处理表》，并进行初步审查后提交技术委员会。在可</w:t>
      </w:r>
      <w:r>
        <w:rPr>
          <w:rFonts w:hint="eastAsia" w:asciiTheme="majorEastAsia" w:hAnsiTheme="majorEastAsia" w:eastAsiaTheme="majorEastAsia" w:cstheme="majorEastAsia"/>
        </w:rPr>
        <w:t>能时，</w:t>
      </w:r>
      <w:r>
        <w:rPr>
          <w:rFonts w:hint="eastAsia" w:asciiTheme="majorEastAsia" w:hAnsiTheme="majorEastAsia" w:eastAsiaTheme="majorEastAsia" w:cstheme="majorEastAsia"/>
          <w:lang w:eastAsia="zh-CN"/>
        </w:rPr>
        <w:t>市场营销部</w:t>
      </w:r>
      <w:r>
        <w:rPr>
          <w:rFonts w:hint="eastAsia" w:asciiTheme="majorEastAsia" w:hAnsiTheme="majorEastAsia" w:eastAsiaTheme="majorEastAsia" w:cstheme="majorEastAsia"/>
        </w:rPr>
        <w:t>应向投诉人确认收到了投诉。对于针对获证组织的投诉，</w:t>
      </w:r>
      <w:r>
        <w:rPr>
          <w:rFonts w:hint="eastAsia" w:asciiTheme="majorEastAsia" w:hAnsiTheme="majorEastAsia" w:eastAsiaTheme="majorEastAsia" w:cstheme="majorEastAsia"/>
          <w:lang w:eastAsia="zh-CN"/>
        </w:rPr>
        <w:t>市场营销部</w:t>
      </w:r>
      <w:r>
        <w:rPr>
          <w:rFonts w:hint="eastAsia" w:asciiTheme="majorEastAsia" w:hAnsiTheme="majorEastAsia" w:eastAsiaTheme="majorEastAsia" w:cstheme="majorEastAsia"/>
        </w:rPr>
        <w:t>应在适当的时间将投诉告知该获证组织。</w:t>
      </w:r>
    </w:p>
    <w:p>
      <w:pPr>
        <w:pStyle w:val="11"/>
        <w:numPr>
          <w:ilvl w:val="2"/>
          <w:numId w:val="8"/>
        </w:numPr>
        <w:tabs>
          <w:tab w:val="left" w:pos="1120"/>
        </w:tabs>
        <w:spacing w:before="0" w:after="0" w:line="379" w:lineRule="exact"/>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对申请方或获证组织投诉处理</w:t>
      </w:r>
    </w:p>
    <w:p>
      <w:pPr>
        <w:pStyle w:val="4"/>
        <w:spacing w:before="14" w:line="249" w:lineRule="auto"/>
        <w:ind w:right="196"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lang w:eastAsia="zh-CN"/>
        </w:rPr>
        <w:t>市场营销部</w:t>
      </w:r>
      <w:r>
        <w:rPr>
          <w:rFonts w:hint="eastAsia" w:asciiTheme="majorEastAsia" w:hAnsiTheme="majorEastAsia" w:eastAsiaTheme="majorEastAsia" w:cstheme="majorEastAsia"/>
          <w:w w:val="95"/>
        </w:rPr>
        <w:t>接到有关申请方或获证组织管理体系不符合标准的书面投诉时，应在一个月内对此进行处理，</w:t>
      </w:r>
      <w:r>
        <w:rPr>
          <w:rFonts w:hint="eastAsia" w:asciiTheme="majorEastAsia" w:hAnsiTheme="majorEastAsia" w:eastAsiaTheme="majorEastAsia" w:cstheme="majorEastAsia"/>
          <w:w w:val="95"/>
          <w:lang w:eastAsia="zh-CN"/>
        </w:rPr>
        <w:t>春晖国际认证</w:t>
      </w:r>
      <w:r>
        <w:rPr>
          <w:rFonts w:hint="eastAsia" w:asciiTheme="majorEastAsia" w:hAnsiTheme="majorEastAsia" w:eastAsiaTheme="majorEastAsia" w:cstheme="majorEastAsia"/>
        </w:rPr>
        <w:t>根据投诉信息的内容和性质，要求申请者或获证组织做出说明。并可采取下列形式之一：</w:t>
      </w:r>
    </w:p>
    <w:p>
      <w:pPr>
        <w:pStyle w:val="11"/>
        <w:numPr>
          <w:ilvl w:val="0"/>
          <w:numId w:val="10"/>
        </w:numPr>
        <w:tabs>
          <w:tab w:val="left" w:pos="947"/>
          <w:tab w:val="left" w:pos="948"/>
        </w:tabs>
        <w:spacing w:before="0" w:after="0" w:line="249" w:lineRule="auto"/>
        <w:ind w:left="107" w:right="247"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属严重投诉时，立即暂停证书使用，进行现场调查核实，充分了解投诉及事项的全部信息获取必要证据；必要时（重大事故）10</w:t>
      </w:r>
      <w:r>
        <w:rPr>
          <w:rFonts w:hint="eastAsia" w:asciiTheme="majorEastAsia" w:hAnsiTheme="majorEastAsia" w:eastAsiaTheme="majorEastAsia" w:cstheme="majorEastAsia"/>
          <w:spacing w:val="-3"/>
          <w:sz w:val="21"/>
        </w:rPr>
        <w:t xml:space="preserve"> 工作日内将事故调查核实情况及拟采取的措施报告认可机构；</w:t>
      </w:r>
    </w:p>
    <w:p>
      <w:pPr>
        <w:pStyle w:val="11"/>
        <w:numPr>
          <w:ilvl w:val="0"/>
          <w:numId w:val="10"/>
        </w:numPr>
        <w:tabs>
          <w:tab w:val="left" w:pos="947"/>
          <w:tab w:val="left" w:pos="948"/>
        </w:tabs>
        <w:spacing w:before="0" w:after="0" w:line="384" w:lineRule="exact"/>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属一般投诉时，根据投诉内容决定是否进行复审或把投诉的内容列入下次监督审核中；</w:t>
      </w:r>
    </w:p>
    <w:p>
      <w:pPr>
        <w:pStyle w:val="11"/>
        <w:numPr>
          <w:ilvl w:val="0"/>
          <w:numId w:val="10"/>
        </w:numPr>
        <w:tabs>
          <w:tab w:val="left" w:pos="947"/>
          <w:tab w:val="left" w:pos="948"/>
        </w:tabs>
        <w:spacing w:before="5" w:after="0" w:line="249" w:lineRule="auto"/>
        <w:ind w:left="107" w:right="247"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由于投诉处理结果导致其认可状态发生改变的，申请认证或获得认证组织有权在接到投诉处理决定或</w:t>
      </w:r>
      <w:r>
        <w:rPr>
          <w:rFonts w:hint="eastAsia" w:asciiTheme="majorEastAsia" w:hAnsiTheme="majorEastAsia" w:eastAsiaTheme="majorEastAsia" w:cstheme="majorEastAsia"/>
          <w:position w:val="6"/>
          <w:sz w:val="21"/>
        </w:rPr>
        <w:t>认证</w:t>
      </w:r>
      <w:r>
        <w:rPr>
          <w:rFonts w:hint="eastAsia" w:asciiTheme="majorEastAsia" w:hAnsiTheme="majorEastAsia" w:eastAsiaTheme="majorEastAsia" w:cstheme="majorEastAsia"/>
          <w:spacing w:val="-2"/>
          <w:sz w:val="21"/>
        </w:rPr>
        <w:t xml:space="preserve">决定后的 </w:t>
      </w:r>
      <w:r>
        <w:rPr>
          <w:rFonts w:hint="eastAsia" w:asciiTheme="majorEastAsia" w:hAnsiTheme="majorEastAsia" w:eastAsiaTheme="majorEastAsia" w:cstheme="majorEastAsia"/>
          <w:sz w:val="21"/>
        </w:rPr>
        <w:t>10</w:t>
      </w:r>
      <w:r>
        <w:rPr>
          <w:rFonts w:hint="eastAsia" w:asciiTheme="majorEastAsia" w:hAnsiTheme="majorEastAsia" w:eastAsiaTheme="majorEastAsia" w:cstheme="majorEastAsia"/>
          <w:spacing w:val="-3"/>
          <w:sz w:val="21"/>
        </w:rPr>
        <w:t xml:space="preserve"> 个工作日内提出申诉；</w:t>
      </w:r>
    </w:p>
    <w:p>
      <w:pPr>
        <w:pStyle w:val="11"/>
        <w:numPr>
          <w:ilvl w:val="0"/>
          <w:numId w:val="10"/>
        </w:numPr>
        <w:tabs>
          <w:tab w:val="left" w:pos="947"/>
          <w:tab w:val="left" w:pos="948"/>
        </w:tabs>
        <w:spacing w:before="0" w:after="0" w:line="324" w:lineRule="exact"/>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严重及一般投诉的界定应考虑其内容、性质是否对管理体系造成严重影响或造成其他严重后果。</w:t>
      </w:r>
    </w:p>
    <w:p>
      <w:pPr>
        <w:pStyle w:val="4"/>
        <w:spacing w:before="11" w:line="249" w:lineRule="auto"/>
        <w:ind w:right="245"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以下投诉为严重投诉：受到主管部门处罚；在新闻媒体曝光；严重违反法律法规要求；发生严重质量、环</w:t>
      </w:r>
      <w:r>
        <w:rPr>
          <w:rFonts w:hint="eastAsia" w:asciiTheme="majorEastAsia" w:hAnsiTheme="majorEastAsia" w:eastAsiaTheme="majorEastAsia" w:cstheme="majorEastAsia"/>
        </w:rPr>
        <w:t>境、安全安全事故造成的伤亡、严重财产损失、启动产品召回、造成环境严重污染等。</w:t>
      </w:r>
    </w:p>
    <w:p>
      <w:pPr>
        <w:pStyle w:val="11"/>
        <w:numPr>
          <w:ilvl w:val="2"/>
          <w:numId w:val="8"/>
        </w:numPr>
        <w:tabs>
          <w:tab w:val="left" w:pos="1120"/>
        </w:tabs>
        <w:spacing w:before="0" w:after="0" w:line="384" w:lineRule="exact"/>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其他投诉的处理</w:t>
      </w:r>
    </w:p>
    <w:p>
      <w:pPr>
        <w:pStyle w:val="11"/>
        <w:numPr>
          <w:ilvl w:val="0"/>
          <w:numId w:val="11"/>
        </w:numPr>
        <w:tabs>
          <w:tab w:val="left" w:pos="947"/>
          <w:tab w:val="left" w:pos="948"/>
        </w:tabs>
        <w:spacing w:before="12" w:after="0" w:line="249" w:lineRule="auto"/>
        <w:ind w:left="107" w:right="248"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1"/>
          <w:sz w:val="21"/>
        </w:rPr>
        <w:t>当</w:t>
      </w:r>
      <w:r>
        <w:rPr>
          <w:rFonts w:hint="eastAsia" w:asciiTheme="majorEastAsia" w:hAnsiTheme="majorEastAsia" w:eastAsiaTheme="majorEastAsia" w:cstheme="majorEastAsia"/>
          <w:spacing w:val="-1"/>
          <w:sz w:val="21"/>
          <w:lang w:eastAsia="zh-CN"/>
        </w:rPr>
        <w:t>春晖国际认证</w:t>
      </w:r>
      <w:r>
        <w:rPr>
          <w:rFonts w:hint="eastAsia" w:asciiTheme="majorEastAsia" w:hAnsiTheme="majorEastAsia" w:eastAsiaTheme="majorEastAsia" w:cstheme="majorEastAsia"/>
          <w:spacing w:val="-1"/>
          <w:sz w:val="21"/>
        </w:rPr>
        <w:t>接到其它方面的投诉：如关于审核员或其他工作人员的书面投诉时，由</w:t>
      </w:r>
      <w:r>
        <w:rPr>
          <w:rFonts w:hint="eastAsia" w:asciiTheme="majorEastAsia" w:hAnsiTheme="majorEastAsia" w:eastAsiaTheme="majorEastAsia" w:cstheme="majorEastAsia"/>
          <w:spacing w:val="-1"/>
          <w:sz w:val="21"/>
          <w:lang w:eastAsia="zh-CN"/>
        </w:rPr>
        <w:t>市场营销部</w:t>
      </w:r>
      <w:r>
        <w:rPr>
          <w:rFonts w:hint="eastAsia" w:asciiTheme="majorEastAsia" w:hAnsiTheme="majorEastAsia" w:eastAsiaTheme="majorEastAsia" w:cstheme="majorEastAsia"/>
          <w:spacing w:val="-1"/>
          <w:sz w:val="21"/>
        </w:rPr>
        <w:t xml:space="preserve">在 </w:t>
      </w:r>
      <w:r>
        <w:rPr>
          <w:rFonts w:hint="eastAsia" w:asciiTheme="majorEastAsia" w:hAnsiTheme="majorEastAsia" w:eastAsiaTheme="majorEastAsia" w:cstheme="majorEastAsia"/>
          <w:sz w:val="21"/>
        </w:rPr>
        <w:t>30</w:t>
      </w:r>
      <w:r>
        <w:rPr>
          <w:rFonts w:hint="eastAsia" w:asciiTheme="majorEastAsia" w:hAnsiTheme="majorEastAsia" w:eastAsiaTheme="majorEastAsia" w:cstheme="majorEastAsia"/>
          <w:spacing w:val="-2"/>
          <w:sz w:val="21"/>
        </w:rPr>
        <w:t xml:space="preserve"> 天内组织进行调查，在调查时注意采取回避制度；</w:t>
      </w:r>
    </w:p>
    <w:p>
      <w:pPr>
        <w:pStyle w:val="11"/>
        <w:numPr>
          <w:ilvl w:val="0"/>
          <w:numId w:val="11"/>
        </w:numPr>
        <w:tabs>
          <w:tab w:val="left" w:pos="947"/>
          <w:tab w:val="left" w:pos="948"/>
        </w:tabs>
        <w:spacing w:before="0" w:after="0" w:line="384" w:lineRule="exact"/>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当投诉涉及人员风纪问题，</w:t>
      </w:r>
      <w:r>
        <w:rPr>
          <w:rFonts w:hint="eastAsia" w:asciiTheme="majorEastAsia" w:hAnsiTheme="majorEastAsia" w:eastAsiaTheme="majorEastAsia" w:cstheme="majorEastAsia"/>
          <w:sz w:val="21"/>
          <w:lang w:eastAsia="zh-CN"/>
        </w:rPr>
        <w:t>市场营销部</w:t>
      </w:r>
      <w:r>
        <w:rPr>
          <w:rFonts w:hint="eastAsia" w:asciiTheme="majorEastAsia" w:hAnsiTheme="majorEastAsia" w:eastAsiaTheme="majorEastAsia" w:cstheme="majorEastAsia"/>
          <w:sz w:val="21"/>
        </w:rPr>
        <w:t>应将有关情况转给技术委员会，由技术委员会组织进行调查；</w:t>
      </w:r>
    </w:p>
    <w:p>
      <w:pPr>
        <w:pStyle w:val="11"/>
        <w:numPr>
          <w:ilvl w:val="0"/>
          <w:numId w:val="11"/>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涉及管理层违背公正性要求、认可准则的投诉由公正性委员会负责调查处理；</w:t>
      </w:r>
    </w:p>
    <w:p>
      <w:pPr>
        <w:pStyle w:val="11"/>
        <w:numPr>
          <w:ilvl w:val="2"/>
          <w:numId w:val="8"/>
        </w:numPr>
        <w:tabs>
          <w:tab w:val="left" w:pos="1120"/>
        </w:tabs>
        <w:spacing w:before="14"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处理决定及反馈</w:t>
      </w:r>
    </w:p>
    <w:p>
      <w:pPr>
        <w:pStyle w:val="11"/>
        <w:numPr>
          <w:ilvl w:val="0"/>
          <w:numId w:val="12"/>
        </w:numPr>
        <w:tabs>
          <w:tab w:val="left" w:pos="947"/>
          <w:tab w:val="left" w:pos="948"/>
        </w:tabs>
        <w:spacing w:before="13"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2"/>
          <w:sz w:val="21"/>
        </w:rPr>
        <w:t xml:space="preserve">投诉处理原则上应在 </w:t>
      </w:r>
      <w:r>
        <w:rPr>
          <w:rFonts w:hint="eastAsia" w:asciiTheme="majorEastAsia" w:hAnsiTheme="majorEastAsia" w:eastAsiaTheme="majorEastAsia" w:cstheme="majorEastAsia"/>
          <w:sz w:val="21"/>
        </w:rPr>
        <w:t>2</w:t>
      </w:r>
      <w:r>
        <w:rPr>
          <w:rFonts w:hint="eastAsia" w:asciiTheme="majorEastAsia" w:hAnsiTheme="majorEastAsia" w:eastAsiaTheme="majorEastAsia" w:cstheme="majorEastAsia"/>
          <w:spacing w:val="-3"/>
          <w:sz w:val="21"/>
        </w:rPr>
        <w:t xml:space="preserve"> 个月内完成；</w:t>
      </w:r>
    </w:p>
    <w:p>
      <w:pPr>
        <w:pStyle w:val="11"/>
        <w:numPr>
          <w:ilvl w:val="0"/>
          <w:numId w:val="12"/>
        </w:numPr>
        <w:tabs>
          <w:tab w:val="left" w:pos="947"/>
          <w:tab w:val="left" w:pos="948"/>
        </w:tabs>
        <w:spacing w:before="12" w:after="0" w:line="249" w:lineRule="auto"/>
        <w:ind w:left="107" w:right="247"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市场营销部</w:t>
      </w:r>
      <w:r>
        <w:rPr>
          <w:rFonts w:hint="eastAsia" w:asciiTheme="majorEastAsia" w:hAnsiTheme="majorEastAsia" w:eastAsiaTheme="majorEastAsia" w:cstheme="majorEastAsia"/>
          <w:sz w:val="21"/>
        </w:rPr>
        <w:t>在调查结束后，应及时对投诉内容做出书面的调查报告，对投诉的决定应由与投诉事项无关的人员做出，或经其审查和批准，处理决定记入《投诉和申诉处理表》，并应告知投诉人；</w:t>
      </w:r>
    </w:p>
    <w:p>
      <w:pPr>
        <w:pStyle w:val="11"/>
        <w:numPr>
          <w:ilvl w:val="0"/>
          <w:numId w:val="12"/>
        </w:numPr>
        <w:tabs>
          <w:tab w:val="left" w:pos="947"/>
          <w:tab w:val="left" w:pos="948"/>
        </w:tabs>
        <w:spacing w:before="0" w:after="0" w:line="247" w:lineRule="auto"/>
        <w:ind w:left="107" w:right="247"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市场营销部</w:t>
      </w:r>
      <w:r>
        <w:rPr>
          <w:rFonts w:hint="eastAsia" w:asciiTheme="majorEastAsia" w:hAnsiTheme="majorEastAsia" w:eastAsiaTheme="majorEastAsia" w:cstheme="majorEastAsia"/>
          <w:sz w:val="21"/>
        </w:rPr>
        <w:t>应跟踪和记录投诉，包括为回应投诉而采取的措施，处理结果记入《投诉和申诉处理表》；必要时报认可委方和其它相关机构；</w:t>
      </w:r>
    </w:p>
    <w:p>
      <w:pPr>
        <w:pStyle w:val="11"/>
        <w:numPr>
          <w:ilvl w:val="0"/>
          <w:numId w:val="12"/>
        </w:numPr>
        <w:tabs>
          <w:tab w:val="left" w:pos="947"/>
          <w:tab w:val="left" w:pos="948"/>
        </w:tabs>
        <w:spacing w:before="0"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1"/>
          <w:sz w:val="21"/>
        </w:rPr>
        <w:t xml:space="preserve">投诉人对投诉决定不服的，有权在接到投诉处理决定后的 </w:t>
      </w:r>
      <w:r>
        <w:rPr>
          <w:rFonts w:hint="eastAsia" w:asciiTheme="majorEastAsia" w:hAnsiTheme="majorEastAsia" w:eastAsiaTheme="majorEastAsia" w:cstheme="majorEastAsia"/>
          <w:sz w:val="21"/>
        </w:rPr>
        <w:t>10</w:t>
      </w:r>
      <w:r>
        <w:rPr>
          <w:rFonts w:hint="eastAsia" w:asciiTheme="majorEastAsia" w:hAnsiTheme="majorEastAsia" w:eastAsiaTheme="majorEastAsia" w:cstheme="majorEastAsia"/>
          <w:spacing w:val="-3"/>
          <w:sz w:val="21"/>
        </w:rPr>
        <w:t xml:space="preserve"> 个工作日内提出申诉；</w:t>
      </w:r>
    </w:p>
    <w:p>
      <w:pPr>
        <w:pStyle w:val="11"/>
        <w:numPr>
          <w:ilvl w:val="0"/>
          <w:numId w:val="12"/>
        </w:numPr>
        <w:tabs>
          <w:tab w:val="left" w:pos="947"/>
          <w:tab w:val="left" w:pos="948"/>
        </w:tabs>
        <w:spacing w:before="1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投诉处理需延期时，应由技委会主任批准；</w:t>
      </w:r>
    </w:p>
    <w:p>
      <w:pPr>
        <w:pStyle w:val="11"/>
        <w:numPr>
          <w:ilvl w:val="0"/>
          <w:numId w:val="12"/>
        </w:numPr>
        <w:tabs>
          <w:tab w:val="left" w:pos="947"/>
          <w:tab w:val="left" w:pos="948"/>
        </w:tabs>
        <w:spacing w:before="41" w:after="0" w:line="206"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若有关方面不满意有关处理决定，</w:t>
      </w:r>
      <w:r>
        <w:rPr>
          <w:rFonts w:hint="eastAsia" w:asciiTheme="majorEastAsia" w:hAnsiTheme="majorEastAsia" w:eastAsiaTheme="majorEastAsia" w:cstheme="majorEastAsia"/>
          <w:position w:val="-5"/>
          <w:sz w:val="21"/>
        </w:rPr>
        <w:t>可以直接向认证监管部门投诉；</w:t>
      </w:r>
    </w:p>
    <w:p>
      <w:pPr>
        <w:pStyle w:val="11"/>
        <w:numPr>
          <w:ilvl w:val="0"/>
          <w:numId w:val="12"/>
        </w:numPr>
        <w:tabs>
          <w:tab w:val="left" w:pos="948"/>
        </w:tabs>
        <w:spacing w:before="29" w:after="0" w:line="192" w:lineRule="auto"/>
        <w:ind w:left="947" w:right="0" w:hanging="403"/>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1"/>
        </w:rPr>
        <w:t>在可能时，</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应在投诉处理过程结束时正式通知投诉人；</w:t>
      </w:r>
    </w:p>
    <w:p>
      <w:pPr>
        <w:pStyle w:val="11"/>
        <w:numPr>
          <w:ilvl w:val="0"/>
          <w:numId w:val="12"/>
        </w:numPr>
        <w:tabs>
          <w:tab w:val="left" w:pos="948"/>
        </w:tabs>
        <w:spacing w:before="27" w:after="0" w:line="189" w:lineRule="auto"/>
        <w:ind w:left="947" w:right="0" w:hanging="403"/>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pacing w:val="-4"/>
          <w:sz w:val="21"/>
          <w:lang w:eastAsia="zh-CN"/>
        </w:rPr>
        <w:t>春晖国际认证</w:t>
      </w:r>
      <w:r>
        <w:rPr>
          <w:rFonts w:hint="eastAsia" w:asciiTheme="majorEastAsia" w:hAnsiTheme="majorEastAsia" w:eastAsiaTheme="majorEastAsia" w:cstheme="majorEastAsia"/>
          <w:spacing w:val="-4"/>
          <w:sz w:val="21"/>
        </w:rPr>
        <w:t>应与客户及投诉人共同决定是否应将投诉事项公开，并在决定公开时，共同确定公开的程度。</w:t>
      </w:r>
    </w:p>
    <w:p>
      <w:pPr>
        <w:pStyle w:val="11"/>
        <w:numPr>
          <w:numId w:val="0"/>
        </w:numPr>
        <w:tabs>
          <w:tab w:val="left" w:pos="948"/>
        </w:tabs>
        <w:spacing w:before="27" w:after="0" w:line="189" w:lineRule="auto"/>
        <w:ind w:left="544" w:leftChars="0" w:right="0" w:rightChars="0"/>
        <w:jc w:val="left"/>
        <w:rPr>
          <w:rFonts w:hint="eastAsia" w:asciiTheme="majorEastAsia" w:hAnsiTheme="majorEastAsia" w:eastAsiaTheme="majorEastAsia" w:cstheme="majorEastAsia"/>
          <w:sz w:val="24"/>
        </w:rPr>
      </w:pPr>
    </w:p>
    <w:p>
      <w:pPr>
        <w:pStyle w:val="11"/>
        <w:numPr>
          <w:ilvl w:val="1"/>
          <w:numId w:val="8"/>
        </w:numPr>
        <w:tabs>
          <w:tab w:val="left" w:pos="945"/>
        </w:tabs>
        <w:spacing w:before="0" w:after="0" w:line="360" w:lineRule="exact"/>
        <w:ind w:left="944" w:right="0" w:hanging="400"/>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争议</w:t>
      </w:r>
    </w:p>
    <w:p>
      <w:pPr>
        <w:pStyle w:val="11"/>
        <w:numPr>
          <w:ilvl w:val="2"/>
          <w:numId w:val="8"/>
        </w:numPr>
        <w:tabs>
          <w:tab w:val="left" w:pos="1120"/>
        </w:tabs>
        <w:spacing w:before="18"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争议的受理</w:t>
      </w:r>
    </w:p>
    <w:p>
      <w:pPr>
        <w:pStyle w:val="4"/>
        <w:spacing w:before="71" w:line="249" w:lineRule="auto"/>
        <w:ind w:right="245"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在认证审核过程中提出的争议，一般由审核组长与受审核方依据认证要求协商处理。对经协商仍不能取得</w:t>
      </w:r>
      <w:r>
        <w:rPr>
          <w:rFonts w:hint="eastAsia" w:asciiTheme="majorEastAsia" w:hAnsiTheme="majorEastAsia" w:eastAsiaTheme="majorEastAsia" w:cstheme="majorEastAsia"/>
        </w:rPr>
        <w:t>一致意见的，审核组长可做出审核组的相关结论，但应将争议的情况在 10 个工作日内报告</w:t>
      </w:r>
      <w:r>
        <w:rPr>
          <w:rFonts w:hint="eastAsia" w:asciiTheme="majorEastAsia" w:hAnsiTheme="majorEastAsia" w:eastAsiaTheme="majorEastAsia" w:cstheme="majorEastAsia"/>
          <w:lang w:eastAsia="zh-CN"/>
        </w:rPr>
        <w:t>市场营销部</w:t>
      </w:r>
      <w:r>
        <w:rPr>
          <w:rFonts w:hint="eastAsia" w:asciiTheme="majorEastAsia" w:hAnsiTheme="majorEastAsia" w:eastAsiaTheme="majorEastAsia" w:cstheme="majorEastAsia"/>
        </w:rPr>
        <w:t>。受审核方也可以在 10 个工作日内将争议的事项向</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提出。</w:t>
      </w:r>
    </w:p>
    <w:p>
      <w:pPr>
        <w:pStyle w:val="4"/>
        <w:spacing w:before="12" w:line="249" w:lineRule="auto"/>
        <w:ind w:right="245"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rPr>
        <w:t>在其他场合发生的争议，相关方应在争议所涉及事件发生后 10 个工作日内以书面文件形式向</w:t>
      </w:r>
      <w:r>
        <w:rPr>
          <w:rFonts w:hint="eastAsia" w:asciiTheme="majorEastAsia" w:hAnsiTheme="majorEastAsia" w:eastAsiaTheme="majorEastAsia" w:cstheme="majorEastAsia"/>
          <w:lang w:eastAsia="zh-CN"/>
        </w:rPr>
        <w:t>春晖国际认证市场营销部</w:t>
      </w:r>
      <w:r>
        <w:rPr>
          <w:rFonts w:hint="eastAsia" w:asciiTheme="majorEastAsia" w:hAnsiTheme="majorEastAsia" w:eastAsiaTheme="majorEastAsia" w:cstheme="majorEastAsia"/>
        </w:rPr>
        <w:t>提出。</w:t>
      </w:r>
    </w:p>
    <w:p>
      <w:pPr>
        <w:pStyle w:val="11"/>
        <w:numPr>
          <w:ilvl w:val="2"/>
          <w:numId w:val="8"/>
        </w:numPr>
        <w:tabs>
          <w:tab w:val="left" w:pos="1120"/>
        </w:tabs>
        <w:spacing w:before="0" w:after="0" w:line="384" w:lineRule="exact"/>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争议的处理</w:t>
      </w:r>
    </w:p>
    <w:p>
      <w:pPr>
        <w:pStyle w:val="4"/>
        <w:spacing w:before="11" w:line="249" w:lineRule="auto"/>
        <w:ind w:right="245"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市场营销部</w:t>
      </w:r>
      <w:r>
        <w:rPr>
          <w:rFonts w:hint="eastAsia" w:asciiTheme="majorEastAsia" w:hAnsiTheme="majorEastAsia" w:eastAsiaTheme="majorEastAsia" w:cstheme="majorEastAsia"/>
        </w:rPr>
        <w:t>负责指定有关部门或人员研究提交的争议，并在收到争议后的 30 个工作日内将争议的处理结果通知争议提出人。争议提出人对处理结果不满意的，可以通过申诉、投诉程序向</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技术委员会提出申诉或投诉。</w:t>
      </w:r>
    </w:p>
    <w:p>
      <w:pPr>
        <w:pStyle w:val="4"/>
        <w:spacing w:before="6"/>
        <w:ind w:left="0" w:firstLine="0"/>
        <w:rPr>
          <w:rFonts w:hint="eastAsia" w:asciiTheme="majorEastAsia" w:hAnsiTheme="majorEastAsia" w:eastAsiaTheme="majorEastAsia" w:cstheme="majorEastAsia"/>
        </w:rPr>
      </w:pPr>
    </w:p>
    <w:p>
      <w:pPr>
        <w:spacing w:before="0"/>
        <w:ind w:left="544" w:right="0" w:firstLine="0"/>
        <w:jc w:val="left"/>
        <w:rPr>
          <w:rFonts w:hint="eastAsia" w:asciiTheme="majorEastAsia" w:hAnsiTheme="majorEastAsia" w:eastAsiaTheme="majorEastAsia" w:cstheme="majorEastAsia"/>
          <w:b/>
          <w:sz w:val="21"/>
        </w:rPr>
      </w:pPr>
      <w:bookmarkStart w:id="13" w:name="七、认证证书及认证标志的使用方式说明"/>
      <w:bookmarkEnd w:id="13"/>
      <w:bookmarkStart w:id="14" w:name="_bookmark7"/>
      <w:bookmarkEnd w:id="14"/>
      <w:r>
        <w:rPr>
          <w:rFonts w:hint="eastAsia" w:asciiTheme="majorEastAsia" w:hAnsiTheme="majorEastAsia" w:eastAsiaTheme="majorEastAsia" w:cstheme="majorEastAsia"/>
          <w:sz w:val="21"/>
        </w:rPr>
        <w:t>七、</w:t>
      </w:r>
      <w:r>
        <w:rPr>
          <w:rFonts w:hint="eastAsia" w:asciiTheme="majorEastAsia" w:hAnsiTheme="majorEastAsia" w:eastAsiaTheme="majorEastAsia" w:cstheme="majorEastAsia"/>
          <w:b/>
          <w:sz w:val="21"/>
        </w:rPr>
        <w:t>认证证书及认证标志的使用方式说明</w:t>
      </w:r>
    </w:p>
    <w:p>
      <w:pPr>
        <w:pStyle w:val="4"/>
        <w:spacing w:before="14" w:line="247" w:lineRule="auto"/>
        <w:ind w:right="245"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rPr>
        <w:t>认证证书和认证标志的使用必须遵守《中华人民共和国认证认可条例》“第二十五条 获得认证证书的，应当在认证范围内使用认证证书和认证标志，不得利用产品、服务认证证书、认证标志和相关文字、符号，误导公众认为其管理体系已通过认证，也不得利用管理体系认证证书、认证标志和相关文字、符号，误导公众认为</w:t>
      </w:r>
      <w:r>
        <w:rPr>
          <w:rFonts w:hint="eastAsia" w:asciiTheme="majorEastAsia" w:hAnsiTheme="majorEastAsia" w:eastAsiaTheme="majorEastAsia" w:cstheme="majorEastAsia"/>
          <w:spacing w:val="-12"/>
        </w:rPr>
        <w:t>其产品、服务已通过认证。”的规定。</w:t>
      </w:r>
    </w:p>
    <w:p>
      <w:pPr>
        <w:pStyle w:val="11"/>
        <w:numPr>
          <w:ilvl w:val="1"/>
          <w:numId w:val="13"/>
        </w:numPr>
        <w:tabs>
          <w:tab w:val="left" w:pos="945"/>
        </w:tabs>
        <w:spacing w:before="3" w:after="0" w:line="240" w:lineRule="auto"/>
        <w:ind w:left="944" w:right="0" w:hanging="400"/>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获证组织向客户展示的认证证书应在认证有效期内；</w:t>
      </w:r>
    </w:p>
    <w:p>
      <w:pPr>
        <w:pStyle w:val="11"/>
        <w:numPr>
          <w:ilvl w:val="1"/>
          <w:numId w:val="13"/>
        </w:numPr>
        <w:tabs>
          <w:tab w:val="left" w:pos="945"/>
        </w:tabs>
        <w:spacing w:before="14" w:after="0" w:line="247" w:lineRule="auto"/>
        <w:ind w:left="107" w:right="245" w:firstLine="437"/>
        <w:jc w:val="both"/>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认证标志/</w:t>
      </w:r>
      <w:r>
        <w:rPr>
          <w:rFonts w:hint="eastAsia" w:asciiTheme="majorEastAsia" w:hAnsiTheme="majorEastAsia" w:eastAsiaTheme="majorEastAsia" w:cstheme="majorEastAsia"/>
          <w:spacing w:val="-4"/>
          <w:w w:val="95"/>
          <w:sz w:val="21"/>
        </w:rPr>
        <w:t>认可标志不得应用于产品或产品包装之上，不得以任何其他可解释为表示产品符合性的方式</w:t>
      </w:r>
      <w:r>
        <w:rPr>
          <w:rFonts w:hint="eastAsia" w:asciiTheme="majorEastAsia" w:hAnsiTheme="majorEastAsia" w:eastAsiaTheme="majorEastAsia" w:cstheme="majorEastAsia"/>
          <w:spacing w:val="2"/>
          <w:w w:val="99"/>
          <w:sz w:val="21"/>
        </w:rPr>
        <w:t>使用</w:t>
      </w:r>
      <w:r>
        <w:rPr>
          <w:rFonts w:hint="eastAsia" w:asciiTheme="majorEastAsia" w:hAnsiTheme="majorEastAsia" w:eastAsiaTheme="majorEastAsia" w:cstheme="majorEastAsia"/>
          <w:spacing w:val="-6"/>
          <w:w w:val="99"/>
          <w:sz w:val="21"/>
        </w:rPr>
        <w:t>。可以在产品包装上或者附带信息中使用如下声明：“</w:t>
      </w:r>
      <w:r>
        <w:rPr>
          <w:rFonts w:hint="eastAsia" w:asciiTheme="majorEastAsia" w:hAnsiTheme="majorEastAsia" w:eastAsiaTheme="majorEastAsia" w:cstheme="majorEastAsia"/>
          <w:w w:val="99"/>
          <w:sz w:val="21"/>
        </w:rPr>
        <w:t>***</w:t>
      </w:r>
      <w:r>
        <w:rPr>
          <w:rFonts w:hint="eastAsia" w:asciiTheme="majorEastAsia" w:hAnsiTheme="majorEastAsia" w:eastAsiaTheme="majorEastAsia" w:cstheme="majorEastAsia"/>
          <w:spacing w:val="2"/>
          <w:w w:val="99"/>
          <w:sz w:val="21"/>
        </w:rPr>
        <w:t>（</w:t>
      </w:r>
      <w:r>
        <w:rPr>
          <w:rFonts w:hint="eastAsia" w:asciiTheme="majorEastAsia" w:hAnsiTheme="majorEastAsia" w:eastAsiaTheme="majorEastAsia" w:cstheme="majorEastAsia"/>
          <w:spacing w:val="1"/>
          <w:w w:val="99"/>
          <w:sz w:val="21"/>
        </w:rPr>
        <w:t>获证组织名称或品牌</w:t>
      </w:r>
      <w:r>
        <w:rPr>
          <w:rFonts w:hint="eastAsia" w:asciiTheme="majorEastAsia" w:hAnsiTheme="majorEastAsia" w:eastAsiaTheme="majorEastAsia" w:cstheme="majorEastAsia"/>
          <w:spacing w:val="-1"/>
          <w:w w:val="99"/>
          <w:sz w:val="21"/>
        </w:rPr>
        <w:t>）</w:t>
      </w:r>
      <w:r>
        <w:rPr>
          <w:rFonts w:hint="eastAsia" w:asciiTheme="majorEastAsia" w:hAnsiTheme="majorEastAsia" w:eastAsiaTheme="majorEastAsia" w:cstheme="majorEastAsia"/>
          <w:w w:val="99"/>
          <w:sz w:val="21"/>
        </w:rPr>
        <w:t>已通过</w:t>
      </w:r>
      <w:r>
        <w:rPr>
          <w:rFonts w:hint="eastAsia" w:asciiTheme="majorEastAsia" w:hAnsiTheme="majorEastAsia" w:eastAsiaTheme="majorEastAsia" w:cstheme="majorEastAsia"/>
          <w:w w:val="99"/>
          <w:sz w:val="21"/>
          <w:lang w:eastAsia="zh-CN"/>
        </w:rPr>
        <w:t>春晖国际认证有限公司</w:t>
      </w:r>
      <w:r>
        <w:rPr>
          <w:rFonts w:hint="eastAsia" w:asciiTheme="majorEastAsia" w:hAnsiTheme="majorEastAsia" w:eastAsiaTheme="majorEastAsia" w:cstheme="majorEastAsia"/>
          <w:spacing w:val="-2"/>
          <w:sz w:val="21"/>
        </w:rPr>
        <w:t xml:space="preserve">授予的 </w:t>
      </w:r>
      <w:r>
        <w:rPr>
          <w:rFonts w:hint="eastAsia" w:asciiTheme="majorEastAsia" w:hAnsiTheme="majorEastAsia" w:eastAsiaTheme="majorEastAsia" w:cstheme="majorEastAsia"/>
          <w:sz w:val="21"/>
        </w:rPr>
        <w:t>GB/T 19001–20**</w:t>
      </w:r>
      <w:r>
        <w:rPr>
          <w:rFonts w:hint="eastAsia" w:asciiTheme="majorEastAsia" w:hAnsiTheme="majorEastAsia" w:eastAsiaTheme="majorEastAsia" w:cstheme="majorEastAsia"/>
          <w:spacing w:val="-3"/>
          <w:sz w:val="21"/>
        </w:rPr>
        <w:t xml:space="preserve"> </w:t>
      </w:r>
      <w:r>
        <w:rPr>
          <w:rFonts w:hint="eastAsia" w:asciiTheme="majorEastAsia" w:hAnsiTheme="majorEastAsia" w:eastAsiaTheme="majorEastAsia" w:cstheme="majorEastAsia"/>
          <w:sz w:val="21"/>
        </w:rPr>
        <w:t>idt</w:t>
      </w:r>
      <w:r>
        <w:rPr>
          <w:rFonts w:hint="eastAsia" w:asciiTheme="majorEastAsia" w:hAnsiTheme="majorEastAsia" w:eastAsiaTheme="majorEastAsia" w:cstheme="majorEastAsia"/>
          <w:spacing w:val="-1"/>
          <w:sz w:val="21"/>
        </w:rPr>
        <w:t xml:space="preserve"> </w:t>
      </w:r>
      <w:r>
        <w:rPr>
          <w:rFonts w:hint="eastAsia" w:asciiTheme="majorEastAsia" w:hAnsiTheme="majorEastAsia" w:eastAsiaTheme="majorEastAsia" w:cstheme="majorEastAsia"/>
          <w:sz w:val="21"/>
        </w:rPr>
        <w:t>ISO</w:t>
      </w:r>
      <w:r>
        <w:rPr>
          <w:rFonts w:hint="eastAsia" w:asciiTheme="majorEastAsia" w:hAnsiTheme="majorEastAsia" w:eastAsiaTheme="majorEastAsia" w:cstheme="majorEastAsia"/>
          <w:spacing w:val="1"/>
          <w:sz w:val="21"/>
        </w:rPr>
        <w:t xml:space="preserve"> </w:t>
      </w:r>
      <w:r>
        <w:rPr>
          <w:rFonts w:hint="eastAsia" w:asciiTheme="majorEastAsia" w:hAnsiTheme="majorEastAsia" w:eastAsiaTheme="majorEastAsia" w:cstheme="majorEastAsia"/>
          <w:sz w:val="21"/>
        </w:rPr>
        <w:t>9001:20**</w:t>
      </w:r>
      <w:r>
        <w:rPr>
          <w:rFonts w:hint="eastAsia" w:asciiTheme="majorEastAsia" w:hAnsiTheme="majorEastAsia" w:eastAsiaTheme="majorEastAsia" w:cstheme="majorEastAsia"/>
          <w:spacing w:val="-11"/>
          <w:sz w:val="21"/>
        </w:rPr>
        <w:t>质量管理体系认证”。</w:t>
      </w:r>
    </w:p>
    <w:p>
      <w:pPr>
        <w:pStyle w:val="11"/>
        <w:numPr>
          <w:ilvl w:val="1"/>
          <w:numId w:val="13"/>
        </w:numPr>
        <w:tabs>
          <w:tab w:val="left" w:pos="945"/>
        </w:tabs>
        <w:spacing w:before="4" w:after="0" w:line="240" w:lineRule="auto"/>
        <w:ind w:left="944" w:right="0" w:hanging="400"/>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对获证组织作如下要求：</w:t>
      </w:r>
    </w:p>
    <w:p>
      <w:pPr>
        <w:pStyle w:val="11"/>
        <w:numPr>
          <w:ilvl w:val="0"/>
          <w:numId w:val="14"/>
        </w:numPr>
        <w:tabs>
          <w:tab w:val="left" w:pos="948"/>
        </w:tabs>
        <w:spacing w:before="14" w:after="0" w:line="247" w:lineRule="auto"/>
        <w:ind w:left="107" w:right="141" w:firstLine="437"/>
        <w:jc w:val="both"/>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认证证书可以展示在文件、网站、通过认证的工作场所、销售场所、广告和宣传资料中或广告宣传等商业活动，但不得利用管理体系认证证书和相关文字、符号，误导公众认为认证证书覆盖范围外的管理体系、</w:t>
      </w:r>
      <w:r>
        <w:rPr>
          <w:rFonts w:hint="eastAsia" w:asciiTheme="majorEastAsia" w:hAnsiTheme="majorEastAsia" w:eastAsiaTheme="majorEastAsia" w:cstheme="majorEastAsia"/>
          <w:spacing w:val="-2"/>
          <w:sz w:val="21"/>
        </w:rPr>
        <w:t>产品或服务获得认证, 宣传认证结果时不应损害</w:t>
      </w:r>
      <w:r>
        <w:rPr>
          <w:rFonts w:hint="eastAsia" w:asciiTheme="majorEastAsia" w:hAnsiTheme="majorEastAsia" w:eastAsiaTheme="majorEastAsia" w:cstheme="majorEastAsia"/>
          <w:spacing w:val="-2"/>
          <w:sz w:val="21"/>
          <w:lang w:eastAsia="zh-CN"/>
        </w:rPr>
        <w:t>春晖国际认证</w:t>
      </w:r>
      <w:r>
        <w:rPr>
          <w:rFonts w:hint="eastAsia" w:asciiTheme="majorEastAsia" w:hAnsiTheme="majorEastAsia" w:eastAsiaTheme="majorEastAsia" w:cstheme="majorEastAsia"/>
          <w:spacing w:val="-2"/>
          <w:sz w:val="21"/>
        </w:rPr>
        <w:t>的声誉，不得损害认证制度，使公众对认证失去信任；</w:t>
      </w:r>
    </w:p>
    <w:p>
      <w:pPr>
        <w:pStyle w:val="11"/>
        <w:numPr>
          <w:ilvl w:val="0"/>
          <w:numId w:val="14"/>
        </w:numPr>
        <w:tabs>
          <w:tab w:val="left" w:pos="947"/>
          <w:tab w:val="left" w:pos="948"/>
        </w:tabs>
        <w:spacing w:before="3" w:after="0" w:line="247" w:lineRule="auto"/>
        <w:ind w:left="107" w:right="247"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证书和标志不准以任何形式转让、出售、借用或冒用；证书失效期间获证组织不得以任何形式使用所有引用认证资格的广告材料；</w:t>
      </w:r>
    </w:p>
    <w:p>
      <w:pPr>
        <w:pStyle w:val="11"/>
        <w:numPr>
          <w:ilvl w:val="0"/>
          <w:numId w:val="14"/>
        </w:numPr>
        <w:tabs>
          <w:tab w:val="left" w:pos="947"/>
          <w:tab w:val="left" w:pos="948"/>
        </w:tabs>
        <w:spacing w:before="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不得做出有关于其认证资格的误导性说明；不允许以误导性方式使用认证证书或其任何部分；</w:t>
      </w:r>
    </w:p>
    <w:p>
      <w:pPr>
        <w:pStyle w:val="11"/>
        <w:numPr>
          <w:ilvl w:val="0"/>
          <w:numId w:val="14"/>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在其认证被撤销时，按照认证机构的指令立即停止使用所有引用认证资格的广告材料；</w:t>
      </w:r>
    </w:p>
    <w:p>
      <w:pPr>
        <w:pStyle w:val="11"/>
        <w:numPr>
          <w:ilvl w:val="0"/>
          <w:numId w:val="14"/>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在认证范围被缩小时，修改所有的广告材料；</w:t>
      </w:r>
    </w:p>
    <w:p>
      <w:pPr>
        <w:pStyle w:val="11"/>
        <w:numPr>
          <w:ilvl w:val="0"/>
          <w:numId w:val="14"/>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不允许在引用其管理体系认证资格时，暗示认证机构对产品（包括服务）或过程进行了认证；</w:t>
      </w:r>
    </w:p>
    <w:p>
      <w:pPr>
        <w:pStyle w:val="11"/>
        <w:numPr>
          <w:ilvl w:val="0"/>
          <w:numId w:val="14"/>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不得暗示认证适用于认证范围以外的活动和场所；</w:t>
      </w:r>
    </w:p>
    <w:p>
      <w:pPr>
        <w:pStyle w:val="11"/>
        <w:numPr>
          <w:ilvl w:val="0"/>
          <w:numId w:val="14"/>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rPr>
        <w:t>管理体系的认证结果与校准实验室认可的结果不同，获证组织不得将认证标志使用在实验和校准报告</w:t>
      </w:r>
      <w:r>
        <w:rPr>
          <w:rFonts w:hint="eastAsia" w:asciiTheme="majorEastAsia" w:hAnsiTheme="majorEastAsia" w:eastAsiaTheme="majorEastAsia" w:cstheme="majorEastAsia"/>
        </w:rPr>
        <w:t>上。</w:t>
      </w:r>
    </w:p>
    <w:p>
      <w:pPr>
        <w:spacing w:before="14"/>
        <w:ind w:left="544" w:right="0" w:firstLine="0"/>
        <w:jc w:val="left"/>
        <w:rPr>
          <w:rFonts w:hint="eastAsia" w:asciiTheme="majorEastAsia" w:hAnsiTheme="majorEastAsia" w:eastAsiaTheme="majorEastAsia" w:cstheme="majorEastAsia"/>
          <w:b/>
          <w:sz w:val="21"/>
        </w:rPr>
      </w:pPr>
      <w:bookmarkStart w:id="15" w:name="_bookmark8"/>
      <w:bookmarkEnd w:id="15"/>
      <w:bookmarkStart w:id="16" w:name="八、再认证的申请"/>
      <w:bookmarkEnd w:id="16"/>
    </w:p>
    <w:p>
      <w:pPr>
        <w:spacing w:before="14"/>
        <w:ind w:left="544" w:right="0" w:firstLine="0"/>
        <w:jc w:val="left"/>
        <w:rPr>
          <w:rFonts w:hint="eastAsia" w:asciiTheme="majorEastAsia" w:hAnsiTheme="majorEastAsia" w:eastAsiaTheme="majorEastAsia" w:cstheme="majorEastAsia"/>
          <w:b/>
          <w:sz w:val="21"/>
        </w:rPr>
      </w:pPr>
      <w:r>
        <w:rPr>
          <w:rFonts w:hint="eastAsia" w:asciiTheme="majorEastAsia" w:hAnsiTheme="majorEastAsia" w:eastAsiaTheme="majorEastAsia" w:cstheme="majorEastAsia"/>
          <w:b/>
          <w:sz w:val="21"/>
        </w:rPr>
        <w:t>八、再认证的申请</w:t>
      </w:r>
    </w:p>
    <w:p>
      <w:pPr>
        <w:pStyle w:val="4"/>
        <w:spacing w:before="14" w:line="247" w:lineRule="auto"/>
        <w:ind w:right="240"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证书有效期届满，组织如要继续保持对其管理体系的认证，可向</w:t>
      </w:r>
      <w:r>
        <w:rPr>
          <w:rFonts w:hint="eastAsia" w:asciiTheme="majorEastAsia" w:hAnsiTheme="majorEastAsia" w:eastAsiaTheme="majorEastAsia" w:cstheme="majorEastAsia"/>
          <w:w w:val="95"/>
          <w:lang w:eastAsia="zh-CN"/>
        </w:rPr>
        <w:t>春晖国际认证</w:t>
      </w:r>
      <w:r>
        <w:rPr>
          <w:rFonts w:hint="eastAsia" w:asciiTheme="majorEastAsia" w:hAnsiTheme="majorEastAsia" w:eastAsiaTheme="majorEastAsia" w:cstheme="majorEastAsia"/>
          <w:w w:val="95"/>
        </w:rPr>
        <w:t>提出再认证申请，再认证一般应</w:t>
      </w:r>
      <w:r>
        <w:rPr>
          <w:rFonts w:hint="eastAsia" w:asciiTheme="majorEastAsia" w:hAnsiTheme="majorEastAsia" w:eastAsiaTheme="majorEastAsia" w:cstheme="majorEastAsia"/>
          <w:spacing w:val="-3"/>
        </w:rPr>
        <w:t xml:space="preserve">在证书有效期到期 </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spacing w:val="-5"/>
        </w:rPr>
        <w:t xml:space="preserve"> 个月前向</w:t>
      </w:r>
      <w:r>
        <w:rPr>
          <w:rFonts w:hint="eastAsia" w:asciiTheme="majorEastAsia" w:hAnsiTheme="majorEastAsia" w:eastAsiaTheme="majorEastAsia" w:cstheme="majorEastAsia"/>
          <w:spacing w:val="-5"/>
          <w:lang w:eastAsia="zh-CN"/>
        </w:rPr>
        <w:t>春晖国际认证</w:t>
      </w:r>
      <w:r>
        <w:rPr>
          <w:rFonts w:hint="eastAsia" w:asciiTheme="majorEastAsia" w:hAnsiTheme="majorEastAsia" w:eastAsiaTheme="majorEastAsia" w:cstheme="majorEastAsia"/>
          <w:spacing w:val="-5"/>
        </w:rPr>
        <w:t>提交管理体系申请表并签订再认证合同，再认证后重新颁发认证证书， 进入下一个证书有效期。</w:t>
      </w:r>
    </w:p>
    <w:p>
      <w:pPr>
        <w:pStyle w:val="4"/>
        <w:spacing w:before="15"/>
        <w:ind w:left="0" w:firstLine="0"/>
        <w:rPr>
          <w:rFonts w:hint="eastAsia" w:asciiTheme="majorEastAsia" w:hAnsiTheme="majorEastAsia" w:eastAsiaTheme="majorEastAsia" w:cstheme="majorEastAsia"/>
        </w:rPr>
      </w:pPr>
    </w:p>
    <w:p>
      <w:pPr>
        <w:spacing w:before="0"/>
        <w:ind w:left="544" w:right="0" w:firstLine="0"/>
        <w:jc w:val="left"/>
        <w:rPr>
          <w:rFonts w:hint="eastAsia" w:asciiTheme="majorEastAsia" w:hAnsiTheme="majorEastAsia" w:eastAsiaTheme="majorEastAsia" w:cstheme="majorEastAsia"/>
          <w:b/>
          <w:sz w:val="21"/>
        </w:rPr>
      </w:pPr>
      <w:bookmarkStart w:id="17" w:name="_bookmark9"/>
      <w:bookmarkEnd w:id="17"/>
      <w:bookmarkStart w:id="18" w:name="九、非正常情况下的处置"/>
      <w:bookmarkEnd w:id="18"/>
      <w:r>
        <w:rPr>
          <w:rFonts w:hint="eastAsia" w:asciiTheme="majorEastAsia" w:hAnsiTheme="majorEastAsia" w:eastAsiaTheme="majorEastAsia" w:cstheme="majorEastAsia"/>
          <w:b/>
          <w:sz w:val="21"/>
        </w:rPr>
        <w:t>九、非正常情况下的处置</w:t>
      </w:r>
    </w:p>
    <w:p>
      <w:pPr>
        <w:pStyle w:val="4"/>
        <w:spacing w:before="14" w:line="249" w:lineRule="auto"/>
        <w:ind w:right="248"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获证组织申请、发生变更或出现异常情况时，</w:t>
      </w:r>
      <w:r>
        <w:rPr>
          <w:rFonts w:hint="eastAsia" w:asciiTheme="majorEastAsia" w:hAnsiTheme="majorEastAsia" w:eastAsiaTheme="majorEastAsia" w:cstheme="majorEastAsia"/>
          <w:w w:val="95"/>
          <w:lang w:eastAsia="zh-CN"/>
        </w:rPr>
        <w:t>春晖国际认证</w:t>
      </w:r>
      <w:r>
        <w:rPr>
          <w:rFonts w:hint="eastAsia" w:asciiTheme="majorEastAsia" w:hAnsiTheme="majorEastAsia" w:eastAsiaTheme="majorEastAsia" w:cstheme="majorEastAsia"/>
          <w:w w:val="95"/>
        </w:rPr>
        <w:t>将依据《中华人民共和国认证认可条例》第二十七</w:t>
      </w:r>
      <w:r>
        <w:rPr>
          <w:rFonts w:hint="eastAsia" w:asciiTheme="majorEastAsia" w:hAnsiTheme="majorEastAsia" w:eastAsiaTheme="majorEastAsia" w:cstheme="majorEastAsia"/>
        </w:rPr>
        <w:t>条的有关规定，视具体情况采取缩小、暂停注册、撤销注册的措施。</w:t>
      </w:r>
    </w:p>
    <w:p>
      <w:pPr>
        <w:pStyle w:val="11"/>
        <w:numPr>
          <w:ilvl w:val="1"/>
          <w:numId w:val="15"/>
        </w:numPr>
        <w:tabs>
          <w:tab w:val="left" w:pos="945"/>
        </w:tabs>
        <w:spacing w:before="0" w:after="0" w:line="381" w:lineRule="exact"/>
        <w:ind w:left="944" w:right="0" w:hanging="400"/>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暂停注册的条件</w:t>
      </w:r>
    </w:p>
    <w:p>
      <w:pPr>
        <w:pStyle w:val="4"/>
        <w:spacing w:before="13"/>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出现下列情况之一时，将被暂停认证注册资格：</w:t>
      </w:r>
    </w:p>
    <w:p>
      <w:pPr>
        <w:pStyle w:val="11"/>
        <w:numPr>
          <w:ilvl w:val="2"/>
          <w:numId w:val="15"/>
        </w:numPr>
        <w:tabs>
          <w:tab w:val="left" w:pos="1068"/>
        </w:tabs>
        <w:spacing w:before="14" w:after="0" w:line="240" w:lineRule="auto"/>
        <w:ind w:left="1067" w:right="0" w:hanging="52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企业自行申请暂停认证注册资格</w:t>
      </w:r>
    </w:p>
    <w:p>
      <w:pPr>
        <w:pStyle w:val="11"/>
        <w:numPr>
          <w:ilvl w:val="2"/>
          <w:numId w:val="15"/>
        </w:numPr>
        <w:tabs>
          <w:tab w:val="left" w:pos="1120"/>
        </w:tabs>
        <w:spacing w:before="11"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其他暂停证书的条件：</w:t>
      </w:r>
    </w:p>
    <w:p>
      <w:pPr>
        <w:pStyle w:val="11"/>
        <w:numPr>
          <w:ilvl w:val="0"/>
          <w:numId w:val="16"/>
        </w:numPr>
        <w:tabs>
          <w:tab w:val="left" w:pos="947"/>
          <w:tab w:val="left" w:pos="948"/>
        </w:tabs>
        <w:spacing w:before="14" w:after="0" w:line="249" w:lineRule="auto"/>
        <w:ind w:left="107" w:right="245"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监督或抽查发现获证组织管理体系运行不理想，达不到认证要求，如获证组织的管理体系不符合认证依据或相关产品不符合执行标准要求，不需要立即撤销认证证书的；</w:t>
      </w:r>
    </w:p>
    <w:p>
      <w:pPr>
        <w:pStyle w:val="11"/>
        <w:numPr>
          <w:ilvl w:val="0"/>
          <w:numId w:val="16"/>
        </w:numPr>
        <w:tabs>
          <w:tab w:val="left" w:pos="947"/>
          <w:tab w:val="left" w:pos="948"/>
        </w:tabs>
        <w:spacing w:before="0" w:after="0" w:line="381" w:lineRule="exact"/>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获证组织未按规定使用认证证书和标志；</w:t>
      </w:r>
    </w:p>
    <w:p>
      <w:pPr>
        <w:pStyle w:val="11"/>
        <w:numPr>
          <w:ilvl w:val="0"/>
          <w:numId w:val="16"/>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出现重大质量/环境/安全/食品安全事故，有严重违反法规情况发生的；</w:t>
      </w:r>
    </w:p>
    <w:p>
      <w:pPr>
        <w:pStyle w:val="11"/>
        <w:numPr>
          <w:ilvl w:val="0"/>
          <w:numId w:val="16"/>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被有关执法监管部门责令停业整顿的；</w:t>
      </w:r>
    </w:p>
    <w:p>
      <w:pPr>
        <w:pStyle w:val="11"/>
        <w:numPr>
          <w:ilvl w:val="0"/>
          <w:numId w:val="16"/>
        </w:numPr>
        <w:tabs>
          <w:tab w:val="left" w:pos="947"/>
          <w:tab w:val="left" w:pos="948"/>
        </w:tabs>
        <w:spacing w:before="11" w:after="0" w:line="249" w:lineRule="auto"/>
        <w:ind w:left="107" w:right="247"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获证组织重组、物理地址变动导致获证组织人力资源、基础设施、组织机构、管理体系过程模式、经营状况发生变更/重大本质性变更，且不能在一个月内接受审核；</w:t>
      </w:r>
    </w:p>
    <w:p>
      <w:pPr>
        <w:pStyle w:val="11"/>
        <w:numPr>
          <w:ilvl w:val="0"/>
          <w:numId w:val="16"/>
        </w:numPr>
        <w:tabs>
          <w:tab w:val="left" w:pos="947"/>
          <w:tab w:val="left" w:pos="948"/>
        </w:tabs>
        <w:spacing w:before="0" w:after="0" w:line="247" w:lineRule="auto"/>
        <w:ind w:left="107" w:right="247"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持有的与管理体系范围有关的行政许可证明、资质证书、强制性认证证书等过期失效，重新提交的申请已被受理但尚未换证的；</w:t>
      </w:r>
    </w:p>
    <w:p>
      <w:pPr>
        <w:pStyle w:val="11"/>
        <w:numPr>
          <w:ilvl w:val="0"/>
          <w:numId w:val="16"/>
        </w:numPr>
        <w:tabs>
          <w:tab w:val="left" w:pos="947"/>
          <w:tab w:val="left" w:pos="948"/>
        </w:tabs>
        <w:spacing w:before="0"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媒体/相关方重大投诉、曝光；</w:t>
      </w:r>
    </w:p>
    <w:p>
      <w:pPr>
        <w:pStyle w:val="11"/>
        <w:numPr>
          <w:ilvl w:val="0"/>
          <w:numId w:val="16"/>
        </w:numPr>
        <w:tabs>
          <w:tab w:val="left" w:pos="947"/>
          <w:tab w:val="left" w:pos="948"/>
        </w:tabs>
        <w:spacing w:before="1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未按时交纳认证费用等不承担、履行认证合同约定责任和义务的；</w:t>
      </w:r>
    </w:p>
    <w:p>
      <w:pPr>
        <w:pStyle w:val="11"/>
        <w:numPr>
          <w:ilvl w:val="0"/>
          <w:numId w:val="16"/>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对于不能按规定的期限内，完成不符合项纠正措施的；</w:t>
      </w:r>
    </w:p>
    <w:p>
      <w:pPr>
        <w:pStyle w:val="11"/>
        <w:numPr>
          <w:ilvl w:val="0"/>
          <w:numId w:val="16"/>
        </w:numPr>
        <w:tabs>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未按要求进行信息通报的；</w:t>
      </w:r>
    </w:p>
    <w:p>
      <w:pPr>
        <w:pStyle w:val="11"/>
        <w:numPr>
          <w:ilvl w:val="0"/>
          <w:numId w:val="16"/>
        </w:numPr>
        <w:tabs>
          <w:tab w:val="left" w:pos="948"/>
        </w:tabs>
        <w:spacing w:before="14" w:after="0" w:line="247" w:lineRule="auto"/>
        <w:ind w:left="107" w:right="245"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1"/>
          <w:sz w:val="21"/>
        </w:rPr>
        <w:t>未能接受周期性监督审核</w:t>
      </w:r>
      <w:r>
        <w:rPr>
          <w:rFonts w:hint="eastAsia" w:asciiTheme="majorEastAsia" w:hAnsiTheme="majorEastAsia" w:eastAsiaTheme="majorEastAsia" w:cstheme="majorEastAsia"/>
          <w:sz w:val="21"/>
        </w:rPr>
        <w:t>（</w:t>
      </w:r>
      <w:r>
        <w:rPr>
          <w:rFonts w:hint="eastAsia" w:asciiTheme="majorEastAsia" w:hAnsiTheme="majorEastAsia" w:eastAsiaTheme="majorEastAsia" w:cstheme="majorEastAsia"/>
          <w:spacing w:val="-2"/>
          <w:sz w:val="21"/>
        </w:rPr>
        <w:t xml:space="preserve">两次审核间隔不超 </w:t>
      </w:r>
      <w:r>
        <w:rPr>
          <w:rFonts w:hint="eastAsia" w:asciiTheme="majorEastAsia" w:hAnsiTheme="majorEastAsia" w:eastAsiaTheme="majorEastAsia" w:cstheme="majorEastAsia"/>
          <w:sz w:val="21"/>
        </w:rPr>
        <w:t>12</w:t>
      </w:r>
      <w:r>
        <w:rPr>
          <w:rFonts w:hint="eastAsia" w:asciiTheme="majorEastAsia" w:hAnsiTheme="majorEastAsia" w:eastAsiaTheme="majorEastAsia" w:cstheme="majorEastAsia"/>
          <w:spacing w:val="-6"/>
          <w:sz w:val="21"/>
        </w:rPr>
        <w:t xml:space="preserve"> 个月</w:t>
      </w:r>
      <w:r>
        <w:rPr>
          <w:rFonts w:hint="eastAsia" w:asciiTheme="majorEastAsia" w:hAnsiTheme="majorEastAsia" w:eastAsiaTheme="majorEastAsia" w:cstheme="majorEastAsia"/>
          <w:spacing w:val="-5"/>
          <w:sz w:val="21"/>
        </w:rPr>
        <w:t>）</w:t>
      </w:r>
      <w:r>
        <w:rPr>
          <w:rFonts w:hint="eastAsia" w:asciiTheme="majorEastAsia" w:hAnsiTheme="majorEastAsia" w:eastAsiaTheme="majorEastAsia" w:cstheme="majorEastAsia"/>
          <w:spacing w:val="-8"/>
          <w:sz w:val="21"/>
        </w:rPr>
        <w:t xml:space="preserve">或 </w:t>
      </w:r>
      <w:r>
        <w:rPr>
          <w:rFonts w:hint="eastAsia" w:asciiTheme="majorEastAsia" w:hAnsiTheme="majorEastAsia" w:eastAsiaTheme="majorEastAsia" w:cstheme="majorEastAsia"/>
          <w:sz w:val="21"/>
        </w:rPr>
        <w:t>SGC</w:t>
      </w:r>
      <w:r>
        <w:rPr>
          <w:rFonts w:hint="eastAsia" w:asciiTheme="majorEastAsia" w:hAnsiTheme="majorEastAsia" w:eastAsiaTheme="majorEastAsia" w:cstheme="majorEastAsia"/>
          <w:spacing w:val="-5"/>
          <w:sz w:val="21"/>
        </w:rPr>
        <w:t xml:space="preserve"> 安排的其他特殊情况的审核</w:t>
      </w:r>
      <w:r>
        <w:rPr>
          <w:rFonts w:hint="eastAsia" w:asciiTheme="majorEastAsia" w:hAnsiTheme="majorEastAsia" w:eastAsiaTheme="majorEastAsia" w:cstheme="majorEastAsia"/>
          <w:sz w:val="21"/>
        </w:rPr>
        <w:t>（如针对产品抽查不合格一个月内需进行的监督）</w:t>
      </w:r>
    </w:p>
    <w:p>
      <w:pPr>
        <w:pStyle w:val="11"/>
        <w:numPr>
          <w:ilvl w:val="0"/>
          <w:numId w:val="16"/>
        </w:numPr>
        <w:tabs>
          <w:tab w:val="left" w:pos="948"/>
        </w:tabs>
        <w:spacing w:before="69"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获证组织被市场监督管理部门抽查发现影响食品安全的不合格情况，尚不需要立即撤销认证证书的；</w:t>
      </w:r>
    </w:p>
    <w:p>
      <w:pPr>
        <w:pStyle w:val="11"/>
        <w:numPr>
          <w:ilvl w:val="0"/>
          <w:numId w:val="16"/>
        </w:numPr>
        <w:tabs>
          <w:tab w:val="left" w:pos="948"/>
        </w:tabs>
        <w:spacing w:before="129"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获证组织无正当理由连续两次不接受不通知现场审核的；</w:t>
      </w:r>
    </w:p>
    <w:p>
      <w:pPr>
        <w:pStyle w:val="11"/>
        <w:numPr>
          <w:ilvl w:val="0"/>
          <w:numId w:val="16"/>
        </w:numPr>
        <w:tabs>
          <w:tab w:val="left" w:pos="948"/>
        </w:tabs>
        <w:spacing w:before="6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其他需要暂停认证注册资格的情况</w:t>
      </w:r>
    </w:p>
    <w:p>
      <w:pPr>
        <w:pStyle w:val="4"/>
        <w:spacing w:before="14" w:line="249" w:lineRule="auto"/>
        <w:ind w:right="245"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暂停期限为一般为六个月，经技术委员会最终审定后向获证组织发出书面通知，并报认证认可业务信息统</w:t>
      </w:r>
      <w:r>
        <w:rPr>
          <w:rFonts w:hint="eastAsia" w:asciiTheme="majorEastAsia" w:hAnsiTheme="majorEastAsia" w:eastAsiaTheme="majorEastAsia" w:cstheme="majorEastAsia"/>
        </w:rPr>
        <w:t>一上报平台予以公告。</w:t>
      </w:r>
    </w:p>
    <w:p>
      <w:pPr>
        <w:pStyle w:val="11"/>
        <w:numPr>
          <w:ilvl w:val="1"/>
          <w:numId w:val="15"/>
        </w:numPr>
        <w:tabs>
          <w:tab w:val="left" w:pos="1051"/>
        </w:tabs>
        <w:spacing w:before="0" w:after="0" w:line="381" w:lineRule="exact"/>
        <w:ind w:left="1050" w:right="0" w:hanging="401"/>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撤销注册的条件</w:t>
      </w:r>
    </w:p>
    <w:p>
      <w:pPr>
        <w:pStyle w:val="4"/>
        <w:spacing w:before="18"/>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出现下列情况之一时，将被撤销认证注册资格：</w:t>
      </w:r>
    </w:p>
    <w:p>
      <w:pPr>
        <w:pStyle w:val="11"/>
        <w:numPr>
          <w:ilvl w:val="2"/>
          <w:numId w:val="15"/>
        </w:numPr>
        <w:tabs>
          <w:tab w:val="left" w:pos="1120"/>
        </w:tabs>
        <w:spacing w:before="11"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组织申请撤销</w:t>
      </w:r>
    </w:p>
    <w:p>
      <w:pPr>
        <w:pStyle w:val="11"/>
        <w:numPr>
          <w:ilvl w:val="2"/>
          <w:numId w:val="15"/>
        </w:numPr>
        <w:tabs>
          <w:tab w:val="left" w:pos="1120"/>
        </w:tabs>
        <w:spacing w:before="14" w:after="0" w:line="240" w:lineRule="auto"/>
        <w:ind w:left="1120" w:right="0" w:hanging="576"/>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其他情况：</w:t>
      </w:r>
    </w:p>
    <w:p>
      <w:pPr>
        <w:pStyle w:val="11"/>
        <w:numPr>
          <w:ilvl w:val="0"/>
          <w:numId w:val="17"/>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拒绝对不符合项采取纠正和纠正措施的；</w:t>
      </w:r>
    </w:p>
    <w:p>
      <w:pPr>
        <w:pStyle w:val="11"/>
        <w:numPr>
          <w:ilvl w:val="0"/>
          <w:numId w:val="17"/>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获证组织停业或关闭；</w:t>
      </w:r>
    </w:p>
    <w:p>
      <w:pPr>
        <w:pStyle w:val="11"/>
        <w:numPr>
          <w:ilvl w:val="0"/>
          <w:numId w:val="17"/>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被注销或撤销法律地位证明文件的；</w:t>
      </w:r>
    </w:p>
    <w:p>
      <w:pPr>
        <w:pStyle w:val="11"/>
        <w:numPr>
          <w:ilvl w:val="0"/>
          <w:numId w:val="17"/>
        </w:numPr>
        <w:tabs>
          <w:tab w:val="left" w:pos="947"/>
          <w:tab w:val="left" w:pos="948"/>
        </w:tabs>
        <w:spacing w:before="13"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相关方重大投诉未能采取有效处理措施的；</w:t>
      </w:r>
    </w:p>
    <w:p>
      <w:pPr>
        <w:pStyle w:val="11"/>
        <w:numPr>
          <w:ilvl w:val="0"/>
          <w:numId w:val="17"/>
        </w:numPr>
        <w:tabs>
          <w:tab w:val="left" w:pos="947"/>
          <w:tab w:val="left" w:pos="948"/>
        </w:tabs>
        <w:spacing w:before="1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虚报、瞒报获证所需信息的；</w:t>
      </w:r>
    </w:p>
    <w:p>
      <w:pPr>
        <w:pStyle w:val="11"/>
        <w:numPr>
          <w:ilvl w:val="0"/>
          <w:numId w:val="17"/>
        </w:numPr>
        <w:tabs>
          <w:tab w:val="left" w:pos="947"/>
          <w:tab w:val="left" w:pos="948"/>
        </w:tabs>
        <w:spacing w:before="13"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被列入质量信用严重失信企业名单；</w:t>
      </w:r>
    </w:p>
    <w:p>
      <w:pPr>
        <w:pStyle w:val="11"/>
        <w:numPr>
          <w:ilvl w:val="0"/>
          <w:numId w:val="17"/>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8"/>
          <w:w w:val="99"/>
          <w:sz w:val="21"/>
        </w:rPr>
        <w:t>被政府列入“严重违法企业名单”；</w:t>
      </w:r>
    </w:p>
    <w:p>
      <w:pPr>
        <w:pStyle w:val="11"/>
        <w:numPr>
          <w:ilvl w:val="0"/>
          <w:numId w:val="17"/>
        </w:numPr>
        <w:tabs>
          <w:tab w:val="left" w:pos="947"/>
          <w:tab w:val="left" w:pos="948"/>
        </w:tabs>
        <w:spacing w:before="11"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拒绝配合认证监管部门实施的监督检查，或者对有关事项的询问和调查提供了虚假材料或信息的；</w:t>
      </w:r>
    </w:p>
    <w:p>
      <w:pPr>
        <w:pStyle w:val="11"/>
        <w:numPr>
          <w:ilvl w:val="0"/>
          <w:numId w:val="17"/>
        </w:numPr>
        <w:tabs>
          <w:tab w:val="left" w:pos="947"/>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拒绝接受国家产品质量监督抽查的；</w:t>
      </w:r>
    </w:p>
    <w:p>
      <w:pPr>
        <w:pStyle w:val="11"/>
        <w:numPr>
          <w:ilvl w:val="0"/>
          <w:numId w:val="17"/>
        </w:numPr>
        <w:tabs>
          <w:tab w:val="left" w:pos="948"/>
        </w:tabs>
        <w:spacing w:before="14" w:after="0" w:line="247" w:lineRule="auto"/>
        <w:ind w:left="107" w:right="247"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出现重大的产品和服务等质量安全、环境、生产安全卫生事故，经执法监管部门确认是获证组织违规造成的，或经机构落实属于获证组织体系建立及运行存有重大缺陷。</w:t>
      </w:r>
    </w:p>
    <w:p>
      <w:pPr>
        <w:pStyle w:val="11"/>
        <w:numPr>
          <w:ilvl w:val="0"/>
          <w:numId w:val="17"/>
        </w:numPr>
        <w:tabs>
          <w:tab w:val="left" w:pos="948"/>
        </w:tabs>
        <w:spacing w:before="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有其他严重违反法律法规行为的；</w:t>
      </w:r>
    </w:p>
    <w:p>
      <w:pPr>
        <w:pStyle w:val="11"/>
        <w:numPr>
          <w:ilvl w:val="0"/>
          <w:numId w:val="17"/>
        </w:numPr>
        <w:tabs>
          <w:tab w:val="left" w:pos="948"/>
        </w:tabs>
        <w:spacing w:before="13" w:after="0" w:line="247" w:lineRule="auto"/>
        <w:ind w:left="107" w:right="245"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暂停认证证书的期限已满但导致暂停的问题未得到解决或纠正和纠正措施的（包括持有的与管理体系</w:t>
      </w:r>
      <w:r>
        <w:rPr>
          <w:rFonts w:hint="eastAsia" w:asciiTheme="majorEastAsia" w:hAnsiTheme="majorEastAsia" w:eastAsiaTheme="majorEastAsia" w:cstheme="majorEastAsia"/>
          <w:spacing w:val="-1"/>
          <w:w w:val="99"/>
          <w:sz w:val="21"/>
        </w:rPr>
        <w:t>范围有关的行政许可证明、资质证书、强制性认证证书等已经过期失效但申请未获批准</w:t>
      </w:r>
      <w:r>
        <w:rPr>
          <w:rFonts w:hint="eastAsia" w:asciiTheme="majorEastAsia" w:hAnsiTheme="majorEastAsia" w:eastAsiaTheme="majorEastAsia" w:cstheme="majorEastAsia"/>
          <w:spacing w:val="-104"/>
          <w:w w:val="99"/>
          <w:sz w:val="21"/>
        </w:rPr>
        <w:t>）</w:t>
      </w:r>
      <w:r>
        <w:rPr>
          <w:rFonts w:hint="eastAsia" w:asciiTheme="majorEastAsia" w:hAnsiTheme="majorEastAsia" w:eastAsiaTheme="majorEastAsia" w:cstheme="majorEastAsia"/>
          <w:w w:val="99"/>
          <w:sz w:val="21"/>
        </w:rPr>
        <w:t>；</w:t>
      </w:r>
    </w:p>
    <w:p>
      <w:pPr>
        <w:pStyle w:val="11"/>
        <w:numPr>
          <w:ilvl w:val="0"/>
          <w:numId w:val="17"/>
        </w:numPr>
        <w:tabs>
          <w:tab w:val="left" w:pos="948"/>
        </w:tabs>
        <w:spacing w:before="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没有运行管理体系或者已不具备运行条件的；</w:t>
      </w:r>
    </w:p>
    <w:p>
      <w:pPr>
        <w:pStyle w:val="11"/>
        <w:numPr>
          <w:ilvl w:val="0"/>
          <w:numId w:val="17"/>
        </w:numPr>
        <w:tabs>
          <w:tab w:val="left" w:pos="948"/>
        </w:tabs>
        <w:spacing w:before="14" w:after="0" w:line="247" w:lineRule="auto"/>
        <w:ind w:left="107" w:right="247"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不按相关规定正确引用和宣传获得的认证信息，造成严重影响或后果，或者认证机构已要求其纠正但</w:t>
      </w:r>
      <w:r>
        <w:rPr>
          <w:rFonts w:hint="eastAsia" w:asciiTheme="majorEastAsia" w:hAnsiTheme="majorEastAsia" w:eastAsiaTheme="majorEastAsia" w:cstheme="majorEastAsia"/>
          <w:spacing w:val="-4"/>
          <w:sz w:val="21"/>
        </w:rPr>
        <w:t xml:space="preserve">超过 </w:t>
      </w:r>
      <w:r>
        <w:rPr>
          <w:rFonts w:hint="eastAsia" w:asciiTheme="majorEastAsia" w:hAnsiTheme="majorEastAsia" w:eastAsiaTheme="majorEastAsia" w:cstheme="majorEastAsia"/>
          <w:sz w:val="21"/>
        </w:rPr>
        <w:t>2</w:t>
      </w:r>
      <w:r>
        <w:rPr>
          <w:rFonts w:hint="eastAsia" w:asciiTheme="majorEastAsia" w:hAnsiTheme="majorEastAsia" w:eastAsiaTheme="majorEastAsia" w:cstheme="majorEastAsia"/>
          <w:spacing w:val="-3"/>
          <w:sz w:val="21"/>
        </w:rPr>
        <w:t xml:space="preserve"> 个月仍未纠正的；</w:t>
      </w:r>
    </w:p>
    <w:p>
      <w:pPr>
        <w:pStyle w:val="11"/>
        <w:numPr>
          <w:ilvl w:val="0"/>
          <w:numId w:val="17"/>
        </w:numPr>
        <w:tabs>
          <w:tab w:val="left" w:pos="948"/>
        </w:tabs>
        <w:spacing w:before="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证书有效期内换发新证书；</w:t>
      </w:r>
    </w:p>
    <w:p>
      <w:pPr>
        <w:pStyle w:val="11"/>
        <w:numPr>
          <w:ilvl w:val="0"/>
          <w:numId w:val="17"/>
        </w:numPr>
        <w:tabs>
          <w:tab w:val="left" w:pos="948"/>
        </w:tabs>
        <w:spacing w:before="13"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故意或持续的不满足国家相关法律法规要求的；</w:t>
      </w:r>
    </w:p>
    <w:p>
      <w:pPr>
        <w:pStyle w:val="11"/>
        <w:numPr>
          <w:ilvl w:val="0"/>
          <w:numId w:val="17"/>
        </w:numPr>
        <w:tabs>
          <w:tab w:val="left" w:pos="948"/>
        </w:tabs>
        <w:spacing w:before="12"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不再生产获证范围内产品的或不再提供获证范围内服务的；</w:t>
      </w:r>
    </w:p>
    <w:p>
      <w:pPr>
        <w:pStyle w:val="11"/>
        <w:numPr>
          <w:ilvl w:val="0"/>
          <w:numId w:val="17"/>
        </w:numPr>
        <w:tabs>
          <w:tab w:val="left" w:pos="948"/>
        </w:tabs>
        <w:spacing w:before="14"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获证组织管理体系不符合认证依据或相关产品不符合执行标注要求，需要立即撤销认证证书的；</w:t>
      </w:r>
    </w:p>
    <w:p>
      <w:pPr>
        <w:pStyle w:val="11"/>
        <w:numPr>
          <w:ilvl w:val="0"/>
          <w:numId w:val="17"/>
        </w:numPr>
        <w:tabs>
          <w:tab w:val="left" w:pos="948"/>
        </w:tabs>
        <w:spacing w:before="13" w:after="0" w:line="240" w:lineRule="auto"/>
        <w:ind w:left="947" w:right="0" w:hanging="40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其他应当撤销认证证书的情况。</w:t>
      </w:r>
    </w:p>
    <w:p>
      <w:pPr>
        <w:pStyle w:val="11"/>
        <w:numPr>
          <w:ilvl w:val="1"/>
          <w:numId w:val="15"/>
        </w:numPr>
        <w:tabs>
          <w:tab w:val="left" w:pos="945"/>
        </w:tabs>
        <w:spacing w:before="12" w:after="0" w:line="240" w:lineRule="auto"/>
        <w:ind w:left="944" w:right="0" w:hanging="400"/>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暂停、撤销的处理程序</w:t>
      </w:r>
    </w:p>
    <w:p>
      <w:pPr>
        <w:pStyle w:val="11"/>
        <w:numPr>
          <w:ilvl w:val="2"/>
          <w:numId w:val="15"/>
        </w:numPr>
        <w:tabs>
          <w:tab w:val="left" w:pos="1068"/>
        </w:tabs>
        <w:spacing w:before="13" w:after="0" w:line="247" w:lineRule="auto"/>
        <w:ind w:left="107" w:right="246" w:firstLine="437"/>
        <w:jc w:val="both"/>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1"/>
          <w:w w:val="99"/>
          <w:sz w:val="21"/>
        </w:rPr>
        <w:t>作出暂停使用认证证书的决定后（暂停期限一般为六个月</w:t>
      </w:r>
      <w:r>
        <w:rPr>
          <w:rFonts w:hint="eastAsia" w:asciiTheme="majorEastAsia" w:hAnsiTheme="majorEastAsia" w:eastAsiaTheme="majorEastAsia" w:cstheme="majorEastAsia"/>
          <w:spacing w:val="-104"/>
          <w:w w:val="99"/>
          <w:sz w:val="21"/>
        </w:rPr>
        <w:t>）</w:t>
      </w:r>
      <w:r>
        <w:rPr>
          <w:rFonts w:hint="eastAsia" w:asciiTheme="majorEastAsia" w:hAnsiTheme="majorEastAsia" w:eastAsiaTheme="majorEastAsia" w:cstheme="majorEastAsia"/>
          <w:spacing w:val="-1"/>
          <w:w w:val="99"/>
          <w:sz w:val="21"/>
        </w:rPr>
        <w:t>，</w:t>
      </w:r>
      <w:r>
        <w:rPr>
          <w:rFonts w:hint="eastAsia" w:asciiTheme="majorEastAsia" w:hAnsiTheme="majorEastAsia" w:eastAsiaTheme="majorEastAsia" w:cstheme="majorEastAsia"/>
          <w:spacing w:val="-1"/>
          <w:w w:val="99"/>
          <w:sz w:val="21"/>
          <w:lang w:eastAsia="zh-CN"/>
        </w:rPr>
        <w:t>春晖国际认证</w:t>
      </w:r>
      <w:r>
        <w:rPr>
          <w:rFonts w:hint="eastAsia" w:asciiTheme="majorEastAsia" w:hAnsiTheme="majorEastAsia" w:eastAsiaTheme="majorEastAsia" w:cstheme="majorEastAsia"/>
          <w:spacing w:val="-1"/>
          <w:w w:val="99"/>
          <w:sz w:val="21"/>
        </w:rPr>
        <w:t>将书面通知该获证组织，规定</w:t>
      </w:r>
      <w:r>
        <w:rPr>
          <w:rFonts w:hint="eastAsia" w:asciiTheme="majorEastAsia" w:hAnsiTheme="majorEastAsia" w:eastAsiaTheme="majorEastAsia" w:cstheme="majorEastAsia"/>
          <w:sz w:val="21"/>
        </w:rPr>
        <w:t>整改期限和恢复使用证书的条件，并将此决定报认证认可业务信息统一上报平台。获证组织在暂停期间不能在任何媒体上发布任何消息暗指证书仍然有效，不能使用证书和标志，并按规定交回证书。</w:t>
      </w:r>
    </w:p>
    <w:p>
      <w:pPr>
        <w:pStyle w:val="4"/>
        <w:spacing w:before="4" w:line="247" w:lineRule="auto"/>
        <w:ind w:right="248"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
          <w:w w:val="95"/>
        </w:rPr>
        <w:t>暂停注册组织在规定期限内完成纠正措施时，向</w:t>
      </w:r>
      <w:r>
        <w:rPr>
          <w:rFonts w:hint="eastAsia" w:asciiTheme="majorEastAsia" w:hAnsiTheme="majorEastAsia" w:eastAsiaTheme="majorEastAsia" w:cstheme="majorEastAsia"/>
          <w:spacing w:val="-1"/>
          <w:w w:val="95"/>
          <w:lang w:eastAsia="zh-CN"/>
        </w:rPr>
        <w:t>春晖国际认证</w:t>
      </w:r>
      <w:r>
        <w:rPr>
          <w:rFonts w:hint="eastAsia" w:asciiTheme="majorEastAsia" w:hAnsiTheme="majorEastAsia" w:eastAsiaTheme="majorEastAsia" w:cstheme="majorEastAsia"/>
          <w:spacing w:val="-1"/>
          <w:w w:val="95"/>
        </w:rPr>
        <w:t>提出恢复注册申请，</w:t>
      </w:r>
      <w:r>
        <w:rPr>
          <w:rFonts w:hint="eastAsia" w:asciiTheme="majorEastAsia" w:hAnsiTheme="majorEastAsia" w:eastAsiaTheme="majorEastAsia" w:cstheme="majorEastAsia"/>
          <w:spacing w:val="-1"/>
          <w:w w:val="95"/>
          <w:lang w:eastAsia="zh-CN"/>
        </w:rPr>
        <w:t>春晖国际认证</w:t>
      </w:r>
      <w:r>
        <w:rPr>
          <w:rFonts w:hint="eastAsia" w:asciiTheme="majorEastAsia" w:hAnsiTheme="majorEastAsia" w:eastAsiaTheme="majorEastAsia" w:cstheme="majorEastAsia"/>
          <w:spacing w:val="-1"/>
          <w:w w:val="95"/>
        </w:rPr>
        <w:t>将及时做出有关恢</w:t>
      </w:r>
      <w:r>
        <w:rPr>
          <w:rFonts w:hint="eastAsia" w:asciiTheme="majorEastAsia" w:hAnsiTheme="majorEastAsia" w:eastAsiaTheme="majorEastAsia" w:cstheme="majorEastAsia"/>
          <w:spacing w:val="-1"/>
        </w:rPr>
        <w:t>复安排。当确认导致暂停的原因消除后，</w:t>
      </w:r>
      <w:r>
        <w:rPr>
          <w:rFonts w:hint="eastAsia" w:asciiTheme="majorEastAsia" w:hAnsiTheme="majorEastAsia" w:eastAsiaTheme="majorEastAsia" w:cstheme="majorEastAsia"/>
          <w:spacing w:val="-1"/>
          <w:lang w:eastAsia="zh-CN"/>
        </w:rPr>
        <w:t>春晖国际认证</w:t>
      </w:r>
      <w:r>
        <w:rPr>
          <w:rFonts w:hint="eastAsia" w:asciiTheme="majorEastAsia" w:hAnsiTheme="majorEastAsia" w:eastAsiaTheme="majorEastAsia" w:cstheme="majorEastAsia"/>
          <w:spacing w:val="-1"/>
        </w:rPr>
        <w:t>技委会作出恢复认证注册的决定，以书面形式通知该获证组织恢复使用认证证书，同时上报认证认可业务信息统一上报平台。</w:t>
      </w:r>
    </w:p>
    <w:p>
      <w:pPr>
        <w:pStyle w:val="4"/>
        <w:spacing w:before="4" w:line="249" w:lineRule="auto"/>
        <w:ind w:right="245"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rPr>
        <w:t>恢复注册审核收费标准为：结合监督审核进行恢复注册现场审核时，加收 1000 元每体系服务费用；如需专门增加一次恢复注册现场审核时，则按认证合同收取一次监督审核费。</w:t>
      </w:r>
    </w:p>
    <w:p>
      <w:pPr>
        <w:pStyle w:val="11"/>
        <w:numPr>
          <w:ilvl w:val="2"/>
          <w:numId w:val="15"/>
        </w:numPr>
        <w:tabs>
          <w:tab w:val="left" w:pos="1120"/>
        </w:tabs>
        <w:spacing w:before="0" w:after="0" w:line="381" w:lineRule="exact"/>
        <w:ind w:left="1120" w:right="0" w:hanging="576"/>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rPr>
        <w:t>作出撤销认证注册资格决定后，</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将及时上报认证认可业务信息统一上报平台，并将收回该</w:t>
      </w:r>
      <w:r>
        <w:rPr>
          <w:rFonts w:hint="eastAsia" w:asciiTheme="majorEastAsia" w:hAnsiTheme="majorEastAsia" w:eastAsiaTheme="majorEastAsia" w:cstheme="majorEastAsia"/>
        </w:rPr>
        <w:t>组织的认证证书，并利用网络等媒介公布撤销注册决定。</w:t>
      </w:r>
    </w:p>
    <w:p>
      <w:pPr>
        <w:pStyle w:val="11"/>
        <w:numPr>
          <w:ilvl w:val="1"/>
          <w:numId w:val="18"/>
        </w:numPr>
        <w:tabs>
          <w:tab w:val="left" w:pos="945"/>
        </w:tabs>
        <w:spacing w:before="11" w:after="0" w:line="240" w:lineRule="auto"/>
        <w:ind w:left="944" w:right="0" w:hanging="400"/>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缩小认证范围</w:t>
      </w:r>
    </w:p>
    <w:p>
      <w:pPr>
        <w:pStyle w:val="11"/>
        <w:numPr>
          <w:ilvl w:val="2"/>
          <w:numId w:val="18"/>
        </w:numPr>
        <w:tabs>
          <w:tab w:val="left" w:pos="1070"/>
        </w:tabs>
        <w:spacing w:before="14" w:after="0" w:line="249" w:lineRule="auto"/>
        <w:ind w:left="107" w:right="245"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获证组织要求缩小认证范围时，应向</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提出书面申请，经</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审查确认其合理性后，缩小范围换发认证证书。</w:t>
      </w:r>
    </w:p>
    <w:p>
      <w:pPr>
        <w:pStyle w:val="11"/>
        <w:numPr>
          <w:ilvl w:val="2"/>
          <w:numId w:val="18"/>
        </w:numPr>
        <w:tabs>
          <w:tab w:val="left" w:pos="1120"/>
        </w:tabs>
        <w:spacing w:before="0" w:after="0" w:line="249" w:lineRule="auto"/>
        <w:ind w:left="107" w:right="248"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在监督审核或其他时机发现获证企业在认证范围的某些部分持续地或严重地不满足认证要求、认证范围的某些部分不再生产/提供，认证机构将缩小证书覆盖范围，以排除不满足要求或消失的部分。</w:t>
      </w:r>
    </w:p>
    <w:p>
      <w:pPr>
        <w:pStyle w:val="11"/>
        <w:numPr>
          <w:ilvl w:val="2"/>
          <w:numId w:val="18"/>
        </w:numPr>
        <w:tabs>
          <w:tab w:val="left" w:pos="1120"/>
        </w:tabs>
        <w:spacing w:before="0" w:after="0" w:line="247" w:lineRule="auto"/>
        <w:ind w:left="107" w:right="245"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换发新证书后，企业按规定交回原证书，并立即停止对被缩小的认证范围的相关宣传，包括这部分的范围的证书和标志使用。</w:t>
      </w:r>
    </w:p>
    <w:p>
      <w:pPr>
        <w:pStyle w:val="4"/>
        <w:spacing w:before="6"/>
        <w:ind w:left="0" w:firstLine="0"/>
        <w:rPr>
          <w:rFonts w:hint="eastAsia" w:asciiTheme="majorEastAsia" w:hAnsiTheme="majorEastAsia" w:eastAsiaTheme="majorEastAsia" w:cstheme="majorEastAsia"/>
        </w:rPr>
      </w:pPr>
    </w:p>
    <w:p>
      <w:pPr>
        <w:spacing w:before="0"/>
        <w:ind w:left="544" w:right="0" w:firstLine="0"/>
        <w:jc w:val="left"/>
        <w:rPr>
          <w:rFonts w:hint="eastAsia" w:asciiTheme="majorEastAsia" w:hAnsiTheme="majorEastAsia" w:eastAsiaTheme="majorEastAsia" w:cstheme="majorEastAsia"/>
          <w:b/>
          <w:sz w:val="21"/>
        </w:rPr>
      </w:pPr>
      <w:bookmarkStart w:id="19" w:name="十、禁止转换机构认证有关政策的说明"/>
      <w:bookmarkEnd w:id="19"/>
      <w:bookmarkStart w:id="20" w:name="_bookmark10"/>
      <w:bookmarkEnd w:id="20"/>
      <w:r>
        <w:rPr>
          <w:rFonts w:hint="eastAsia" w:asciiTheme="majorEastAsia" w:hAnsiTheme="majorEastAsia" w:eastAsiaTheme="majorEastAsia" w:cstheme="majorEastAsia"/>
          <w:b/>
          <w:sz w:val="21"/>
        </w:rPr>
        <w:t>十、禁止转换机构认证有关政策的说明</w:t>
      </w:r>
    </w:p>
    <w:p>
      <w:pPr>
        <w:pStyle w:val="4"/>
        <w:spacing w:before="11" w:line="249" w:lineRule="auto"/>
        <w:ind w:right="245"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4"/>
          <w:w w:val="95"/>
        </w:rPr>
        <w:t xml:space="preserve">根据国家《认证机构公平竞争规范—与认证证书有关的有违公平竞争行为约束》的政策，就其禁止转换机     </w:t>
      </w:r>
      <w:r>
        <w:rPr>
          <w:rFonts w:hint="eastAsia" w:asciiTheme="majorEastAsia" w:hAnsiTheme="majorEastAsia" w:eastAsiaTheme="majorEastAsia" w:cstheme="majorEastAsia"/>
          <w:spacing w:val="-4"/>
        </w:rPr>
        <w:t>构认证的有关政策规定作相关说明：</w:t>
      </w:r>
    </w:p>
    <w:p>
      <w:pPr>
        <w:pStyle w:val="4"/>
        <w:spacing w:line="247" w:lineRule="auto"/>
        <w:ind w:right="246"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rPr>
        <w:t>1、该政策适用于包括质量管理体系认证、环境管理体系认证、职业健康安全管理体系认证等管理体系认证活动；</w:t>
      </w:r>
    </w:p>
    <w:p>
      <w:pPr>
        <w:pStyle w:val="4"/>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2、该政策禁止获证组织随意自由地转换认证机构，有关规定如下：</w:t>
      </w:r>
    </w:p>
    <w:p>
      <w:pPr>
        <w:pStyle w:val="11"/>
        <w:numPr>
          <w:ilvl w:val="1"/>
          <w:numId w:val="19"/>
        </w:numPr>
        <w:tabs>
          <w:tab w:val="left" w:pos="945"/>
        </w:tabs>
        <w:spacing w:before="12" w:after="0" w:line="247" w:lineRule="auto"/>
        <w:ind w:left="107" w:right="248"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特定认证机构发放的证书，应由其负责其后监督，其它机构未经批准，不得对该证书进行转换监督， 不在该证书有效期内换发证书；</w:t>
      </w:r>
    </w:p>
    <w:p>
      <w:pPr>
        <w:pStyle w:val="11"/>
        <w:numPr>
          <w:ilvl w:val="1"/>
          <w:numId w:val="19"/>
        </w:numPr>
        <w:tabs>
          <w:tab w:val="left" w:pos="945"/>
        </w:tabs>
        <w:spacing w:before="2" w:after="0" w:line="247" w:lineRule="auto"/>
        <w:ind w:left="107" w:right="141"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5"/>
          <w:w w:val="95"/>
          <w:sz w:val="21"/>
        </w:rPr>
        <w:t>认证机构对受审核方的监督审核、初次审核、再认证审核结论为不合格，不通过或不保持认证注册的；</w:t>
      </w:r>
      <w:r>
        <w:rPr>
          <w:rFonts w:hint="eastAsia" w:asciiTheme="majorEastAsia" w:hAnsiTheme="majorEastAsia" w:eastAsiaTheme="majorEastAsia" w:cstheme="majorEastAsia"/>
          <w:spacing w:val="-9"/>
          <w:sz w:val="21"/>
        </w:rPr>
        <w:t>或认证机构暂停、撤销认证证书的</w:t>
      </w:r>
      <w:r>
        <w:rPr>
          <w:rFonts w:hint="eastAsia" w:asciiTheme="majorEastAsia" w:hAnsiTheme="majorEastAsia" w:eastAsiaTheme="majorEastAsia" w:cstheme="majorEastAsia"/>
          <w:sz w:val="21"/>
        </w:rPr>
        <w:t>（见第九条</w:t>
      </w:r>
      <w:r>
        <w:rPr>
          <w:rFonts w:hint="eastAsia" w:asciiTheme="majorEastAsia" w:hAnsiTheme="majorEastAsia" w:eastAsiaTheme="majorEastAsia" w:cstheme="majorEastAsia"/>
          <w:spacing w:val="-106"/>
          <w:sz w:val="21"/>
        </w:rPr>
        <w:t>）</w:t>
      </w:r>
      <w:r>
        <w:rPr>
          <w:rFonts w:hint="eastAsia" w:asciiTheme="majorEastAsia" w:hAnsiTheme="majorEastAsia" w:eastAsiaTheme="majorEastAsia" w:cstheme="majorEastAsia"/>
          <w:spacing w:val="-7"/>
          <w:sz w:val="21"/>
        </w:rPr>
        <w:t>。自作出上述认证决定之日起，一年内其它认证机构不得受理该组织的认证申请及发放认证证书。</w:t>
      </w:r>
    </w:p>
    <w:p>
      <w:pPr>
        <w:pStyle w:val="11"/>
        <w:numPr>
          <w:ilvl w:val="1"/>
          <w:numId w:val="19"/>
        </w:numPr>
        <w:tabs>
          <w:tab w:val="left" w:pos="945"/>
        </w:tabs>
        <w:spacing w:before="4" w:after="0" w:line="247" w:lineRule="auto"/>
        <w:ind w:left="107" w:right="245" w:firstLine="437"/>
        <w:jc w:val="both"/>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全部认证证书延续状态均由各认证机构依据国家认证信息上报公布制度据实上报并公示于国家认监委</w:t>
      </w:r>
      <w:r>
        <w:rPr>
          <w:rFonts w:hint="eastAsia" w:asciiTheme="majorEastAsia" w:hAnsiTheme="majorEastAsia" w:eastAsiaTheme="majorEastAsia" w:cstheme="majorEastAsia"/>
          <w:spacing w:val="1"/>
          <w:w w:val="99"/>
          <w:sz w:val="21"/>
        </w:rPr>
        <w:t>官方信息</w:t>
      </w:r>
      <w:r>
        <w:rPr>
          <w:rFonts w:hint="eastAsia" w:asciiTheme="majorEastAsia" w:hAnsiTheme="majorEastAsia" w:eastAsiaTheme="majorEastAsia" w:cstheme="majorEastAsia"/>
          <w:spacing w:val="2"/>
          <w:w w:val="99"/>
          <w:sz w:val="21"/>
        </w:rPr>
        <w:t>（</w:t>
      </w:r>
      <w:r>
        <w:rPr>
          <w:rFonts w:hint="eastAsia" w:asciiTheme="majorEastAsia" w:hAnsiTheme="majorEastAsia" w:eastAsiaTheme="majorEastAsia" w:cstheme="majorEastAsia"/>
          <w:w w:val="99"/>
          <w:sz w:val="21"/>
        </w:rPr>
        <w:t>网站</w:t>
      </w:r>
      <w:r>
        <w:rPr>
          <w:rFonts w:hint="eastAsia" w:asciiTheme="majorEastAsia" w:hAnsiTheme="majorEastAsia" w:eastAsiaTheme="majorEastAsia" w:cstheme="majorEastAsia"/>
          <w:spacing w:val="2"/>
          <w:w w:val="99"/>
          <w:sz w:val="21"/>
        </w:rPr>
        <w:t>）</w:t>
      </w:r>
      <w:r>
        <w:rPr>
          <w:rFonts w:hint="eastAsia" w:asciiTheme="majorEastAsia" w:hAnsiTheme="majorEastAsia" w:eastAsiaTheme="majorEastAsia" w:cstheme="majorEastAsia"/>
          <w:spacing w:val="-8"/>
          <w:w w:val="99"/>
          <w:sz w:val="21"/>
        </w:rPr>
        <w:t>平台上，供全社会查询和采信。其中，“</w:t>
      </w:r>
      <w:r>
        <w:rPr>
          <w:rFonts w:hint="eastAsia" w:asciiTheme="majorEastAsia" w:hAnsiTheme="majorEastAsia" w:eastAsiaTheme="majorEastAsia" w:cstheme="majorEastAsia"/>
          <w:spacing w:val="-1"/>
          <w:w w:val="99"/>
          <w:sz w:val="21"/>
        </w:rPr>
        <w:t>2</w:t>
      </w:r>
      <w:r>
        <w:rPr>
          <w:rFonts w:hint="eastAsia" w:asciiTheme="majorEastAsia" w:hAnsiTheme="majorEastAsia" w:eastAsiaTheme="majorEastAsia" w:cstheme="majorEastAsia"/>
          <w:w w:val="99"/>
          <w:sz w:val="21"/>
        </w:rPr>
        <w:t>.</w:t>
      </w:r>
      <w:r>
        <w:rPr>
          <w:rFonts w:hint="eastAsia" w:asciiTheme="majorEastAsia" w:hAnsiTheme="majorEastAsia" w:eastAsiaTheme="majorEastAsia" w:cstheme="majorEastAsia"/>
          <w:spacing w:val="2"/>
          <w:w w:val="99"/>
          <w:sz w:val="21"/>
        </w:rPr>
        <w:t>2</w:t>
      </w:r>
      <w:r>
        <w:rPr>
          <w:rFonts w:hint="eastAsia" w:asciiTheme="majorEastAsia" w:hAnsiTheme="majorEastAsia" w:eastAsiaTheme="majorEastAsia" w:cstheme="majorEastAsia"/>
          <w:spacing w:val="-1"/>
          <w:w w:val="99"/>
          <w:sz w:val="21"/>
        </w:rPr>
        <w:t>”所及的审核不通过、被暂停或撤销认证证书的</w:t>
      </w:r>
      <w:r>
        <w:rPr>
          <w:rFonts w:hint="eastAsia" w:asciiTheme="majorEastAsia" w:hAnsiTheme="majorEastAsia" w:eastAsiaTheme="majorEastAsia" w:cstheme="majorEastAsia"/>
          <w:sz w:val="21"/>
        </w:rPr>
        <w:t>有关信息，集合成为特殊控制的“暂禁转换认证”类信息，具有相当的负面性质，有关组织一旦名列其中，就意味着一年的“禁闭期”并成为“无证”组织，其形象、信誉及客户信任将受到不同程度的损害。</w:t>
      </w:r>
    </w:p>
    <w:p>
      <w:pPr>
        <w:pStyle w:val="4"/>
        <w:spacing w:before="6" w:line="247" w:lineRule="auto"/>
        <w:ind w:right="141" w:firstLine="436"/>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
          <w:w w:val="99"/>
        </w:rPr>
        <w:t>3</w:t>
      </w:r>
      <w:r>
        <w:rPr>
          <w:rFonts w:hint="eastAsia" w:asciiTheme="majorEastAsia" w:hAnsiTheme="majorEastAsia" w:eastAsiaTheme="majorEastAsia" w:cstheme="majorEastAsia"/>
          <w:spacing w:val="-8"/>
          <w:w w:val="99"/>
        </w:rPr>
        <w:t>、限于国家政策约束，</w:t>
      </w:r>
      <w:r>
        <w:rPr>
          <w:rFonts w:hint="eastAsia" w:asciiTheme="majorEastAsia" w:hAnsiTheme="majorEastAsia" w:eastAsiaTheme="majorEastAsia" w:cstheme="majorEastAsia"/>
          <w:spacing w:val="-8"/>
          <w:w w:val="99"/>
          <w:lang w:eastAsia="zh-CN"/>
        </w:rPr>
        <w:t>春晖国际认证</w:t>
      </w:r>
      <w:r>
        <w:rPr>
          <w:rFonts w:hint="eastAsia" w:asciiTheme="majorEastAsia" w:hAnsiTheme="majorEastAsia" w:eastAsiaTheme="majorEastAsia" w:cstheme="majorEastAsia"/>
          <w:spacing w:val="-8"/>
          <w:w w:val="99"/>
        </w:rPr>
        <w:t>亦将按规定如实上报和公示证书状态信息包括</w:t>
      </w:r>
      <w:r>
        <w:rPr>
          <w:rFonts w:hint="eastAsia" w:asciiTheme="majorEastAsia" w:hAnsiTheme="majorEastAsia" w:eastAsiaTheme="majorEastAsia" w:cstheme="majorEastAsia"/>
          <w:spacing w:val="-16"/>
          <w:w w:val="99"/>
        </w:rPr>
        <w:t>：“暂禁转换认证”类信息。</w:t>
      </w:r>
      <w:r>
        <w:rPr>
          <w:rFonts w:hint="eastAsia" w:asciiTheme="majorEastAsia" w:hAnsiTheme="majorEastAsia" w:eastAsiaTheme="majorEastAsia" w:cstheme="majorEastAsia"/>
          <w:spacing w:val="-16"/>
        </w:rPr>
        <w:t>为避免被列入“暂禁转换认证”信息的情况非预期发生，</w:t>
      </w:r>
      <w:r>
        <w:rPr>
          <w:rFonts w:hint="eastAsia" w:asciiTheme="majorEastAsia" w:hAnsiTheme="majorEastAsia" w:eastAsiaTheme="majorEastAsia" w:cstheme="majorEastAsia"/>
          <w:spacing w:val="-16"/>
          <w:lang w:eastAsia="zh-CN"/>
        </w:rPr>
        <w:t>春晖国际认证</w:t>
      </w:r>
      <w:r>
        <w:rPr>
          <w:rFonts w:hint="eastAsia" w:asciiTheme="majorEastAsia" w:hAnsiTheme="majorEastAsia" w:eastAsiaTheme="majorEastAsia" w:cstheme="majorEastAsia"/>
          <w:spacing w:val="-16"/>
        </w:rPr>
        <w:t>已责成客户服务部加强与客户间的联系，认真做好如期监督/</w:t>
      </w:r>
      <w:r>
        <w:rPr>
          <w:rFonts w:hint="eastAsia" w:asciiTheme="majorEastAsia" w:hAnsiTheme="majorEastAsia" w:eastAsiaTheme="majorEastAsia" w:cstheme="majorEastAsia"/>
          <w:spacing w:val="-18"/>
        </w:rPr>
        <w:t>再认证等活动的安排并强化预警机制；同时也请客户积极支持和配合我们的工作，有任何情况</w:t>
      </w:r>
      <w:r>
        <w:rPr>
          <w:rFonts w:hint="eastAsia" w:asciiTheme="majorEastAsia" w:hAnsiTheme="majorEastAsia" w:eastAsiaTheme="majorEastAsia" w:cstheme="majorEastAsia"/>
          <w:spacing w:val="-4"/>
          <w:w w:val="99"/>
        </w:rPr>
        <w:t>请及时与</w:t>
      </w:r>
      <w:r>
        <w:rPr>
          <w:rFonts w:hint="eastAsia" w:asciiTheme="majorEastAsia" w:hAnsiTheme="majorEastAsia" w:eastAsiaTheme="majorEastAsia" w:cstheme="majorEastAsia"/>
          <w:spacing w:val="-4"/>
          <w:w w:val="99"/>
          <w:lang w:eastAsia="zh-CN"/>
        </w:rPr>
        <w:t>春晖国际认证</w:t>
      </w:r>
      <w:r>
        <w:rPr>
          <w:rFonts w:hint="eastAsia" w:asciiTheme="majorEastAsia" w:hAnsiTheme="majorEastAsia" w:eastAsiaTheme="majorEastAsia" w:cstheme="majorEastAsia"/>
          <w:spacing w:val="-4"/>
          <w:w w:val="99"/>
        </w:rPr>
        <w:t>沟通解决，以期规避不应有的“禁闭</w:t>
      </w:r>
      <w:r>
        <w:rPr>
          <w:rFonts w:hint="eastAsia" w:asciiTheme="majorEastAsia" w:hAnsiTheme="majorEastAsia" w:eastAsiaTheme="majorEastAsia" w:cstheme="majorEastAsia"/>
          <w:spacing w:val="-121"/>
          <w:w w:val="99"/>
        </w:rPr>
        <w:t>”</w:t>
      </w:r>
      <w:r>
        <w:rPr>
          <w:rFonts w:hint="eastAsia" w:asciiTheme="majorEastAsia" w:hAnsiTheme="majorEastAsia" w:eastAsiaTheme="majorEastAsia" w:cstheme="majorEastAsia"/>
          <w:spacing w:val="-1"/>
          <w:w w:val="99"/>
        </w:rPr>
        <w:t>（</w:t>
      </w:r>
      <w:r>
        <w:rPr>
          <w:rFonts w:hint="eastAsia" w:asciiTheme="majorEastAsia" w:hAnsiTheme="majorEastAsia" w:eastAsiaTheme="majorEastAsia" w:cstheme="majorEastAsia"/>
          <w:spacing w:val="-4"/>
          <w:w w:val="99"/>
        </w:rPr>
        <w:t>注：该禁闭期不妨碍原发证机构恢复认证注册</w:t>
      </w:r>
      <w:r>
        <w:rPr>
          <w:rFonts w:hint="eastAsia" w:asciiTheme="majorEastAsia" w:hAnsiTheme="majorEastAsia" w:eastAsiaTheme="majorEastAsia" w:cstheme="majorEastAsia"/>
          <w:spacing w:val="-17"/>
          <w:w w:val="99"/>
        </w:rPr>
        <w:t>）</w:t>
      </w:r>
      <w:r>
        <w:rPr>
          <w:rFonts w:hint="eastAsia" w:asciiTheme="majorEastAsia" w:hAnsiTheme="majorEastAsia" w:eastAsiaTheme="majorEastAsia" w:cstheme="majorEastAsia"/>
          <w:spacing w:val="-1"/>
          <w:w w:val="99"/>
        </w:rPr>
        <w:t>风险</w:t>
      </w:r>
      <w:r>
        <w:rPr>
          <w:rFonts w:hint="eastAsia" w:asciiTheme="majorEastAsia" w:hAnsiTheme="majorEastAsia" w:eastAsiaTheme="majorEastAsia" w:cstheme="majorEastAsia"/>
          <w:spacing w:val="-1"/>
        </w:rPr>
        <w:t>和利益伤害。</w:t>
      </w:r>
    </w:p>
    <w:p>
      <w:pPr>
        <w:pStyle w:val="4"/>
        <w:spacing w:before="1"/>
        <w:ind w:left="0" w:firstLine="0"/>
        <w:rPr>
          <w:rFonts w:hint="eastAsia" w:asciiTheme="majorEastAsia" w:hAnsiTheme="majorEastAsia" w:eastAsiaTheme="majorEastAsia" w:cstheme="majorEastAsia"/>
          <w:sz w:val="22"/>
        </w:rPr>
      </w:pPr>
    </w:p>
    <w:p>
      <w:pPr>
        <w:spacing w:before="0"/>
        <w:ind w:left="544" w:right="0" w:firstLine="0"/>
        <w:jc w:val="left"/>
        <w:rPr>
          <w:rFonts w:hint="eastAsia" w:asciiTheme="majorEastAsia" w:hAnsiTheme="majorEastAsia" w:eastAsiaTheme="majorEastAsia" w:cstheme="majorEastAsia"/>
          <w:b/>
          <w:sz w:val="21"/>
        </w:rPr>
      </w:pPr>
      <w:bookmarkStart w:id="21" w:name="_bookmark11"/>
      <w:bookmarkEnd w:id="21"/>
      <w:bookmarkStart w:id="22" w:name="十一、认证要求的变更的处理："/>
      <w:bookmarkEnd w:id="22"/>
      <w:r>
        <w:rPr>
          <w:rFonts w:hint="eastAsia" w:asciiTheme="majorEastAsia" w:hAnsiTheme="majorEastAsia" w:eastAsiaTheme="majorEastAsia" w:cstheme="majorEastAsia"/>
          <w:b/>
          <w:sz w:val="21"/>
        </w:rPr>
        <w:t>十一、认证要求的变更的处理：</w:t>
      </w:r>
    </w:p>
    <w:p>
      <w:pPr>
        <w:pStyle w:val="4"/>
        <w:spacing w:before="11" w:line="249" w:lineRule="auto"/>
        <w:ind w:right="245" w:firstLine="436"/>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w w:val="95"/>
        </w:rPr>
        <w:t xml:space="preserve">当管理体系标准（如：换版）或其他认证要求发生变更时，获证组织应按确定的变更方式，在规定的过渡     </w:t>
      </w:r>
      <w:r>
        <w:rPr>
          <w:rFonts w:hint="eastAsia" w:asciiTheme="majorEastAsia" w:hAnsiTheme="majorEastAsia" w:eastAsiaTheme="majorEastAsia" w:cstheme="majorEastAsia"/>
        </w:rPr>
        <w:t>期间内完成必要的调整，并接受</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现场审核确认。过渡期结束后，未经</w:t>
      </w:r>
      <w:r>
        <w:rPr>
          <w:rFonts w:hint="eastAsia" w:asciiTheme="majorEastAsia" w:hAnsiTheme="majorEastAsia" w:eastAsiaTheme="majorEastAsia" w:cstheme="majorEastAsia"/>
          <w:lang w:eastAsia="zh-CN"/>
        </w:rPr>
        <w:t>春晖国际认证</w:t>
      </w:r>
      <w:r>
        <w:rPr>
          <w:rFonts w:hint="eastAsia" w:asciiTheme="majorEastAsia" w:hAnsiTheme="majorEastAsia" w:eastAsiaTheme="majorEastAsia" w:cstheme="majorEastAsia"/>
        </w:rPr>
        <w:t>现场审核确认的组织， 其认证证书将被撤销并公告。</w:t>
      </w:r>
    </w:p>
    <w:p>
      <w:pPr>
        <w:pStyle w:val="4"/>
        <w:spacing w:before="11" w:line="249" w:lineRule="auto"/>
        <w:ind w:right="245" w:firstLine="436"/>
        <w:jc w:val="both"/>
        <w:rPr>
          <w:rFonts w:hint="eastAsia" w:asciiTheme="majorEastAsia" w:hAnsiTheme="majorEastAsia" w:eastAsiaTheme="majorEastAsia" w:cstheme="majorEastAsia"/>
        </w:rPr>
      </w:pPr>
    </w:p>
    <w:p>
      <w:pPr>
        <w:spacing w:before="18"/>
        <w:ind w:left="544" w:right="0" w:firstLine="0"/>
        <w:jc w:val="left"/>
        <w:rPr>
          <w:rFonts w:hint="eastAsia" w:asciiTheme="majorEastAsia" w:hAnsiTheme="majorEastAsia" w:eastAsiaTheme="majorEastAsia" w:cstheme="majorEastAsia"/>
          <w:b/>
          <w:sz w:val="21"/>
        </w:rPr>
      </w:pPr>
      <w:bookmarkStart w:id="23" w:name="十二、获证组织的权利与义务"/>
      <w:bookmarkEnd w:id="23"/>
      <w:bookmarkStart w:id="24" w:name="_bookmark12"/>
      <w:bookmarkEnd w:id="24"/>
      <w:r>
        <w:rPr>
          <w:rFonts w:hint="eastAsia" w:asciiTheme="majorEastAsia" w:hAnsiTheme="majorEastAsia" w:eastAsiaTheme="majorEastAsia" w:cstheme="majorEastAsia"/>
          <w:b/>
          <w:sz w:val="21"/>
        </w:rPr>
        <w:t>十二、获证组织的权利与义务</w:t>
      </w:r>
    </w:p>
    <w:p>
      <w:pPr>
        <w:pStyle w:val="11"/>
        <w:numPr>
          <w:ilvl w:val="1"/>
          <w:numId w:val="20"/>
        </w:numPr>
        <w:tabs>
          <w:tab w:val="left" w:pos="1070"/>
        </w:tabs>
        <w:spacing w:before="11" w:after="0" w:line="240" w:lineRule="auto"/>
        <w:ind w:left="1069" w:right="0" w:hanging="525"/>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权利</w:t>
      </w:r>
    </w:p>
    <w:p>
      <w:pPr>
        <w:pStyle w:val="11"/>
        <w:numPr>
          <w:ilvl w:val="0"/>
          <w:numId w:val="21"/>
        </w:numPr>
        <w:tabs>
          <w:tab w:val="left" w:pos="877"/>
        </w:tabs>
        <w:spacing w:before="14"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认证申请（委托）人有权了解</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运作依据和认证程序；</w:t>
      </w:r>
    </w:p>
    <w:p>
      <w:pPr>
        <w:pStyle w:val="11"/>
        <w:numPr>
          <w:ilvl w:val="0"/>
          <w:numId w:val="21"/>
        </w:numPr>
        <w:tabs>
          <w:tab w:val="left" w:pos="877"/>
        </w:tabs>
        <w:spacing w:before="14"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有权索取有关认证的说明和资料、文件；</w:t>
      </w:r>
    </w:p>
    <w:p>
      <w:pPr>
        <w:pStyle w:val="11"/>
        <w:numPr>
          <w:ilvl w:val="0"/>
          <w:numId w:val="21"/>
        </w:numPr>
        <w:tabs>
          <w:tab w:val="left" w:pos="877"/>
        </w:tabs>
        <w:spacing w:before="11"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有权对审核计划和审核成员提出异议，并得到合理解决；</w:t>
      </w:r>
    </w:p>
    <w:p>
      <w:pPr>
        <w:pStyle w:val="11"/>
        <w:numPr>
          <w:ilvl w:val="0"/>
          <w:numId w:val="21"/>
        </w:numPr>
        <w:tabs>
          <w:tab w:val="left" w:pos="877"/>
        </w:tabs>
        <w:spacing w:before="14"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有权对审核组提出的不符合项进行确认；</w:t>
      </w:r>
    </w:p>
    <w:p>
      <w:pPr>
        <w:pStyle w:val="11"/>
        <w:numPr>
          <w:ilvl w:val="0"/>
          <w:numId w:val="21"/>
        </w:numPr>
        <w:tabs>
          <w:tab w:val="left" w:pos="877"/>
        </w:tabs>
        <w:spacing w:before="13"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有权对审核组工作和审核结论提出质疑；</w:t>
      </w:r>
    </w:p>
    <w:p>
      <w:pPr>
        <w:pStyle w:val="11"/>
        <w:numPr>
          <w:ilvl w:val="0"/>
          <w:numId w:val="21"/>
        </w:numPr>
        <w:tabs>
          <w:tab w:val="left" w:pos="878"/>
        </w:tabs>
        <w:spacing w:before="12" w:after="0" w:line="240" w:lineRule="auto"/>
        <w:ind w:left="877" w:right="0" w:hanging="33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批准的正式报告与审核组的审核报告有差异时，有权要求</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作出解释；</w:t>
      </w:r>
    </w:p>
    <w:p>
      <w:pPr>
        <w:pStyle w:val="11"/>
        <w:numPr>
          <w:ilvl w:val="0"/>
          <w:numId w:val="21"/>
        </w:numPr>
        <w:tabs>
          <w:tab w:val="left" w:pos="878"/>
        </w:tabs>
        <w:spacing w:before="13" w:after="0" w:line="240" w:lineRule="auto"/>
        <w:ind w:left="877" w:right="0" w:hanging="333"/>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将审核／监督检查分包给外部机构或人员时，有权提出意见；</w:t>
      </w:r>
    </w:p>
    <w:p>
      <w:pPr>
        <w:pStyle w:val="11"/>
        <w:numPr>
          <w:ilvl w:val="0"/>
          <w:numId w:val="21"/>
        </w:numPr>
        <w:tabs>
          <w:tab w:val="left" w:pos="877"/>
        </w:tabs>
        <w:spacing w:before="14"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有权正确使用认证证书和标志；</w:t>
      </w:r>
    </w:p>
    <w:p>
      <w:pPr>
        <w:pStyle w:val="11"/>
        <w:numPr>
          <w:ilvl w:val="0"/>
          <w:numId w:val="21"/>
        </w:numPr>
        <w:tabs>
          <w:tab w:val="left" w:pos="877"/>
        </w:tabs>
        <w:spacing w:before="11"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有权要求</w:t>
      </w:r>
      <w:r>
        <w:rPr>
          <w:rFonts w:hint="eastAsia" w:asciiTheme="majorEastAsia" w:hAnsiTheme="majorEastAsia" w:eastAsiaTheme="majorEastAsia" w:cstheme="majorEastAsia"/>
          <w:w w:val="95"/>
          <w:sz w:val="21"/>
          <w:lang w:eastAsia="zh-CN"/>
        </w:rPr>
        <w:t>春晖国际认证</w:t>
      </w:r>
      <w:r>
        <w:rPr>
          <w:rFonts w:hint="eastAsia" w:asciiTheme="majorEastAsia" w:hAnsiTheme="majorEastAsia" w:eastAsiaTheme="majorEastAsia" w:cstheme="majorEastAsia"/>
          <w:w w:val="95"/>
          <w:sz w:val="21"/>
        </w:rPr>
        <w:t>保密和遵守有关的规定；</w:t>
      </w:r>
    </w:p>
    <w:p>
      <w:pPr>
        <w:pStyle w:val="11"/>
        <w:numPr>
          <w:ilvl w:val="0"/>
          <w:numId w:val="21"/>
        </w:numPr>
        <w:tabs>
          <w:tab w:val="left" w:pos="999"/>
        </w:tabs>
        <w:spacing w:before="14" w:after="0" w:line="240" w:lineRule="auto"/>
        <w:ind w:left="998" w:right="0" w:hanging="454"/>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有权对</w:t>
      </w:r>
      <w:r>
        <w:rPr>
          <w:rFonts w:hint="eastAsia" w:asciiTheme="majorEastAsia" w:hAnsiTheme="majorEastAsia" w:eastAsiaTheme="majorEastAsia" w:cstheme="majorEastAsia"/>
          <w:w w:val="95"/>
          <w:sz w:val="21"/>
          <w:lang w:eastAsia="zh-CN"/>
        </w:rPr>
        <w:t>春晖国际认证</w:t>
      </w:r>
      <w:r>
        <w:rPr>
          <w:rFonts w:hint="eastAsia" w:asciiTheme="majorEastAsia" w:hAnsiTheme="majorEastAsia" w:eastAsiaTheme="majorEastAsia" w:cstheme="majorEastAsia"/>
          <w:w w:val="95"/>
          <w:sz w:val="21"/>
        </w:rPr>
        <w:t>提出申诉／投诉和争议；</w:t>
      </w:r>
    </w:p>
    <w:p>
      <w:pPr>
        <w:pStyle w:val="11"/>
        <w:numPr>
          <w:ilvl w:val="0"/>
          <w:numId w:val="21"/>
        </w:numPr>
        <w:tabs>
          <w:tab w:val="left" w:pos="999"/>
        </w:tabs>
        <w:spacing w:before="14" w:after="0" w:line="240" w:lineRule="auto"/>
        <w:ind w:left="998" w:right="0" w:hanging="454"/>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有权要求</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对其它有关认证问题作出解释或澄清；</w:t>
      </w:r>
    </w:p>
    <w:p>
      <w:pPr>
        <w:pStyle w:val="11"/>
        <w:numPr>
          <w:ilvl w:val="0"/>
          <w:numId w:val="21"/>
        </w:numPr>
        <w:tabs>
          <w:tab w:val="left" w:pos="999"/>
        </w:tabs>
        <w:spacing w:before="11" w:after="0" w:line="240" w:lineRule="auto"/>
        <w:ind w:left="998" w:right="0" w:hanging="454"/>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有权向国务院认证认可监督管理部门和地方认证监督管理部门举报认证活动中的违法违规行为。</w:t>
      </w:r>
    </w:p>
    <w:p>
      <w:pPr>
        <w:pStyle w:val="11"/>
        <w:numPr>
          <w:ilvl w:val="1"/>
          <w:numId w:val="20"/>
        </w:numPr>
        <w:tabs>
          <w:tab w:val="left" w:pos="1017"/>
        </w:tabs>
        <w:spacing w:before="14" w:after="0" w:line="240" w:lineRule="auto"/>
        <w:ind w:left="1016" w:right="0" w:hanging="47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义务</w:t>
      </w:r>
    </w:p>
    <w:p>
      <w:pPr>
        <w:pStyle w:val="11"/>
        <w:numPr>
          <w:ilvl w:val="0"/>
          <w:numId w:val="22"/>
        </w:numPr>
        <w:tabs>
          <w:tab w:val="left" w:pos="877"/>
        </w:tabs>
        <w:spacing w:before="14"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始终遵守国家认监委、认可机构和</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有关认证认可的有关规定；</w:t>
      </w:r>
    </w:p>
    <w:p>
      <w:pPr>
        <w:pStyle w:val="11"/>
        <w:numPr>
          <w:ilvl w:val="0"/>
          <w:numId w:val="22"/>
        </w:numPr>
        <w:tabs>
          <w:tab w:val="left" w:pos="877"/>
        </w:tabs>
        <w:spacing w:before="11"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pacing w:val="-1"/>
          <w:w w:val="99"/>
          <w:sz w:val="21"/>
        </w:rPr>
        <w:t>按期交纳费用</w:t>
      </w:r>
      <w:r>
        <w:rPr>
          <w:rFonts w:hint="eastAsia" w:asciiTheme="majorEastAsia" w:hAnsiTheme="majorEastAsia" w:eastAsiaTheme="majorEastAsia" w:cstheme="majorEastAsia"/>
          <w:spacing w:val="2"/>
          <w:w w:val="99"/>
          <w:sz w:val="21"/>
        </w:rPr>
        <w:t>（</w:t>
      </w:r>
      <w:r>
        <w:rPr>
          <w:rFonts w:hint="eastAsia" w:asciiTheme="majorEastAsia" w:hAnsiTheme="majorEastAsia" w:eastAsiaTheme="majorEastAsia" w:cstheme="majorEastAsia"/>
          <w:spacing w:val="-1"/>
          <w:w w:val="99"/>
          <w:sz w:val="21"/>
        </w:rPr>
        <w:t>认证不通过时也应交纳费用</w:t>
      </w:r>
      <w:r>
        <w:rPr>
          <w:rFonts w:hint="eastAsia" w:asciiTheme="majorEastAsia" w:hAnsiTheme="majorEastAsia" w:eastAsiaTheme="majorEastAsia" w:cstheme="majorEastAsia"/>
          <w:spacing w:val="-104"/>
          <w:w w:val="99"/>
          <w:sz w:val="21"/>
        </w:rPr>
        <w:t>）</w:t>
      </w:r>
      <w:r>
        <w:rPr>
          <w:rFonts w:hint="eastAsia" w:asciiTheme="majorEastAsia" w:hAnsiTheme="majorEastAsia" w:eastAsiaTheme="majorEastAsia" w:cstheme="majorEastAsia"/>
          <w:w w:val="99"/>
          <w:sz w:val="21"/>
        </w:rPr>
        <w:t>；</w:t>
      </w:r>
    </w:p>
    <w:p>
      <w:pPr>
        <w:pStyle w:val="11"/>
        <w:numPr>
          <w:ilvl w:val="0"/>
          <w:numId w:val="22"/>
        </w:numPr>
        <w:tabs>
          <w:tab w:val="left" w:pos="880"/>
        </w:tabs>
        <w:spacing w:before="14" w:after="0" w:line="249" w:lineRule="auto"/>
        <w:ind w:left="107" w:right="245" w:firstLine="437"/>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为进行审核，监督审核，再认证和解决投诉做出必要的安排；包括接受</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的文件审查，调阅所</w:t>
      </w:r>
      <w:r>
        <w:rPr>
          <w:rFonts w:hint="eastAsia" w:asciiTheme="majorEastAsia" w:hAnsiTheme="majorEastAsia" w:eastAsiaTheme="majorEastAsia" w:cstheme="majorEastAsia"/>
          <w:spacing w:val="-1"/>
          <w:w w:val="99"/>
          <w:sz w:val="21"/>
        </w:rPr>
        <w:t>有记录</w:t>
      </w:r>
      <w:r>
        <w:rPr>
          <w:rFonts w:hint="eastAsia" w:asciiTheme="majorEastAsia" w:hAnsiTheme="majorEastAsia" w:eastAsiaTheme="majorEastAsia" w:cstheme="majorEastAsia"/>
          <w:spacing w:val="2"/>
          <w:w w:val="99"/>
          <w:sz w:val="21"/>
        </w:rPr>
        <w:t>（</w:t>
      </w:r>
      <w:r>
        <w:rPr>
          <w:rFonts w:hint="eastAsia" w:asciiTheme="majorEastAsia" w:hAnsiTheme="majorEastAsia" w:eastAsiaTheme="majorEastAsia" w:cstheme="majorEastAsia"/>
          <w:spacing w:val="-1"/>
          <w:w w:val="99"/>
          <w:sz w:val="21"/>
        </w:rPr>
        <w:t>包括内审报告、利益相关者投诉</w:t>
      </w:r>
      <w:r>
        <w:rPr>
          <w:rFonts w:hint="eastAsia" w:asciiTheme="majorEastAsia" w:hAnsiTheme="majorEastAsia" w:eastAsiaTheme="majorEastAsia" w:cstheme="majorEastAsia"/>
          <w:spacing w:val="-104"/>
          <w:w w:val="99"/>
          <w:sz w:val="21"/>
        </w:rPr>
        <w:t>）</w:t>
      </w:r>
      <w:r>
        <w:rPr>
          <w:rFonts w:hint="eastAsia" w:asciiTheme="majorEastAsia" w:hAnsiTheme="majorEastAsia" w:eastAsiaTheme="majorEastAsia" w:cstheme="majorEastAsia"/>
          <w:spacing w:val="-1"/>
          <w:w w:val="99"/>
          <w:sz w:val="21"/>
        </w:rPr>
        <w:t>，初访，进入所有区域的确定和接待访问／审核人员；</w:t>
      </w:r>
    </w:p>
    <w:p>
      <w:pPr>
        <w:pStyle w:val="11"/>
        <w:numPr>
          <w:ilvl w:val="0"/>
          <w:numId w:val="22"/>
        </w:numPr>
        <w:tabs>
          <w:tab w:val="left" w:pos="877"/>
        </w:tabs>
        <w:spacing w:before="0" w:after="0" w:line="381" w:lineRule="exact"/>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积极配合审核，如实提供情况、说明、资料、文件、记录；</w:t>
      </w:r>
    </w:p>
    <w:p>
      <w:pPr>
        <w:pStyle w:val="11"/>
        <w:numPr>
          <w:ilvl w:val="0"/>
          <w:numId w:val="22"/>
        </w:numPr>
        <w:tabs>
          <w:tab w:val="left" w:pos="877"/>
        </w:tabs>
        <w:spacing w:before="13"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w w:val="95"/>
          <w:sz w:val="21"/>
        </w:rPr>
        <w:t>正确使用认证证书和标志，仅就获准认证的范围作出声明；</w:t>
      </w:r>
    </w:p>
    <w:p>
      <w:pPr>
        <w:pStyle w:val="11"/>
        <w:numPr>
          <w:ilvl w:val="0"/>
          <w:numId w:val="22"/>
        </w:numPr>
        <w:tabs>
          <w:tab w:val="left" w:pos="877"/>
        </w:tabs>
        <w:spacing w:before="14"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在宣传认证结果时不得损害</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的声誉，不得做使</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认为误导或未授权的声明；</w:t>
      </w:r>
    </w:p>
    <w:p>
      <w:pPr>
        <w:pStyle w:val="11"/>
        <w:numPr>
          <w:ilvl w:val="0"/>
          <w:numId w:val="22"/>
        </w:numPr>
        <w:tabs>
          <w:tab w:val="left" w:pos="877"/>
        </w:tabs>
        <w:spacing w:before="11"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当认证暂停或撤销时，应立即停止涉及认证内容的宣传，并按</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要求交回所有认证文件；</w:t>
      </w:r>
    </w:p>
    <w:p>
      <w:pPr>
        <w:pStyle w:val="4"/>
        <w:spacing w:before="14"/>
        <w:ind w:left="544" w:firstLine="0"/>
        <w:rPr>
          <w:rFonts w:hint="eastAsia" w:asciiTheme="majorEastAsia" w:hAnsiTheme="majorEastAsia" w:eastAsiaTheme="majorEastAsia" w:cstheme="majorEastAsia"/>
        </w:rPr>
      </w:pPr>
      <w:r>
        <w:rPr>
          <w:rFonts w:hint="eastAsia" w:asciiTheme="majorEastAsia" w:hAnsiTheme="majorEastAsia" w:eastAsiaTheme="majorEastAsia" w:cstheme="majorEastAsia"/>
        </w:rPr>
        <w:t>8) 证书撤销或未能通过再认证审核，必须销毁印有相关认证认可标识的宣传物品。</w:t>
      </w:r>
    </w:p>
    <w:p>
      <w:pPr>
        <w:pStyle w:val="11"/>
        <w:numPr>
          <w:ilvl w:val="0"/>
          <w:numId w:val="23"/>
        </w:numPr>
        <w:tabs>
          <w:tab w:val="left" w:pos="877"/>
        </w:tabs>
        <w:spacing w:before="14" w:after="0" w:line="240" w:lineRule="auto"/>
        <w:ind w:left="876" w:right="0" w:hanging="332"/>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获注册后在有效期内应按前述要求及时向</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通报信息；</w:t>
      </w:r>
    </w:p>
    <w:p>
      <w:pPr>
        <w:pStyle w:val="11"/>
        <w:numPr>
          <w:ilvl w:val="0"/>
          <w:numId w:val="23"/>
        </w:numPr>
        <w:tabs>
          <w:tab w:val="left" w:pos="999"/>
        </w:tabs>
        <w:spacing w:before="11" w:after="0" w:line="240" w:lineRule="auto"/>
        <w:ind w:left="998" w:right="0" w:hanging="454"/>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按更改的管理体系标准等认证要求，在给定的时间内进行更改，并接受</w:t>
      </w:r>
      <w:r>
        <w:rPr>
          <w:rFonts w:hint="eastAsia" w:asciiTheme="majorEastAsia" w:hAnsiTheme="majorEastAsia" w:eastAsiaTheme="majorEastAsia" w:cstheme="majorEastAsia"/>
          <w:sz w:val="21"/>
          <w:lang w:eastAsia="zh-CN"/>
        </w:rPr>
        <w:t>春晖国际认证</w:t>
      </w:r>
      <w:r>
        <w:rPr>
          <w:rFonts w:hint="eastAsia" w:asciiTheme="majorEastAsia" w:hAnsiTheme="majorEastAsia" w:eastAsiaTheme="majorEastAsia" w:cstheme="majorEastAsia"/>
          <w:sz w:val="21"/>
        </w:rPr>
        <w:t>的验证；</w:t>
      </w:r>
    </w:p>
    <w:p>
      <w:pPr>
        <w:pStyle w:val="11"/>
        <w:numPr>
          <w:ilvl w:val="0"/>
          <w:numId w:val="23"/>
        </w:numPr>
        <w:tabs>
          <w:tab w:val="left" w:pos="999"/>
        </w:tabs>
        <w:spacing w:before="14" w:after="0" w:line="240" w:lineRule="auto"/>
        <w:ind w:left="998" w:right="0" w:hanging="454"/>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保持管理体系的有效运行；</w:t>
      </w:r>
    </w:p>
    <w:p>
      <w:pPr>
        <w:pStyle w:val="11"/>
        <w:numPr>
          <w:ilvl w:val="0"/>
          <w:numId w:val="23"/>
        </w:numPr>
        <w:tabs>
          <w:tab w:val="left" w:pos="999"/>
        </w:tabs>
        <w:spacing w:before="14" w:after="0" w:line="240" w:lineRule="auto"/>
        <w:ind w:left="998" w:right="0" w:hanging="454"/>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如期交回全部（过期、撤销）作废认证证书；</w:t>
      </w:r>
    </w:p>
    <w:p>
      <w:pPr>
        <w:pStyle w:val="11"/>
        <w:numPr>
          <w:ilvl w:val="0"/>
          <w:numId w:val="23"/>
        </w:numPr>
        <w:tabs>
          <w:tab w:val="left" w:pos="999"/>
        </w:tabs>
        <w:spacing w:before="11" w:after="0" w:line="240" w:lineRule="auto"/>
        <w:ind w:left="998" w:right="0" w:hanging="454"/>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其他包括但不限于本文及合同约定的有关义务。</w:t>
      </w:r>
    </w:p>
    <w:p>
      <w:pPr>
        <w:pStyle w:val="4"/>
        <w:spacing w:before="9"/>
        <w:ind w:left="0" w:firstLine="0"/>
        <w:rPr>
          <w:rFonts w:hint="eastAsia" w:asciiTheme="majorEastAsia" w:hAnsiTheme="majorEastAsia" w:eastAsiaTheme="majorEastAsia" w:cstheme="majorEastAsia"/>
          <w:sz w:val="22"/>
        </w:rPr>
      </w:pPr>
    </w:p>
    <w:p>
      <w:pPr>
        <w:spacing w:before="0"/>
        <w:ind w:left="544" w:right="0" w:firstLine="0"/>
        <w:jc w:val="left"/>
        <w:rPr>
          <w:rFonts w:hint="eastAsia" w:asciiTheme="majorEastAsia" w:hAnsiTheme="majorEastAsia" w:eastAsiaTheme="majorEastAsia" w:cstheme="majorEastAsia"/>
          <w:b/>
          <w:sz w:val="21"/>
        </w:rPr>
      </w:pPr>
      <w:bookmarkStart w:id="25" w:name="_bookmark13"/>
      <w:bookmarkEnd w:id="25"/>
      <w:bookmarkStart w:id="26" w:name="十三、其他信息："/>
      <w:bookmarkEnd w:id="26"/>
      <w:r>
        <w:rPr>
          <w:rFonts w:hint="eastAsia" w:asciiTheme="majorEastAsia" w:hAnsiTheme="majorEastAsia" w:eastAsiaTheme="majorEastAsia" w:cstheme="majorEastAsia"/>
          <w:b/>
          <w:sz w:val="21"/>
        </w:rPr>
        <w:t>十三、其他信息：</w:t>
      </w:r>
    </w:p>
    <w:p>
      <w:pPr>
        <w:pStyle w:val="4"/>
        <w:spacing w:before="93" w:line="309" w:lineRule="auto"/>
        <w:ind w:right="274" w:firstLine="420"/>
        <w:rPr>
          <w:rFonts w:hint="eastAsia" w:asciiTheme="majorEastAsia" w:hAnsiTheme="majorEastAsia" w:eastAsiaTheme="majorEastAsia" w:cstheme="majorEastAsia"/>
          <w:sz w:val="21"/>
          <w:szCs w:val="22"/>
          <w:lang w:val="en-US" w:eastAsia="en-US" w:bidi="ar-SA"/>
        </w:rPr>
      </w:pPr>
      <w:r>
        <w:rPr>
          <w:rFonts w:hint="eastAsia" w:asciiTheme="majorEastAsia" w:hAnsiTheme="majorEastAsia" w:eastAsiaTheme="majorEastAsia" w:cstheme="majorEastAsia"/>
        </w:rPr>
        <w:t>认证机构资质许可状态、</w:t>
      </w:r>
      <w:r>
        <w:rPr>
          <w:rFonts w:hint="eastAsia" w:asciiTheme="majorEastAsia" w:hAnsiTheme="majorEastAsia" w:eastAsiaTheme="majorEastAsia" w:cstheme="majorEastAsia"/>
          <w:sz w:val="21"/>
          <w:szCs w:val="22"/>
          <w:lang w:val="en-US" w:eastAsia="en-US" w:bidi="ar-SA"/>
        </w:rPr>
        <w:t>认可业务范围、认证证书</w:t>
      </w:r>
      <w:r>
        <w:rPr>
          <w:rFonts w:hint="eastAsia" w:asciiTheme="majorEastAsia" w:hAnsiTheme="majorEastAsia" w:eastAsiaTheme="majorEastAsia" w:cstheme="majorEastAsia"/>
          <w:sz w:val="21"/>
          <w:szCs w:val="22"/>
          <w:lang w:val="en-US" w:eastAsia="en-US" w:bidi="ar-SA"/>
        </w:rPr>
        <w:t>注册信息，可致电</w:t>
      </w:r>
      <w:r>
        <w:rPr>
          <w:rFonts w:hint="eastAsia" w:asciiTheme="majorEastAsia" w:hAnsiTheme="majorEastAsia" w:eastAsiaTheme="majorEastAsia" w:cstheme="majorEastAsia"/>
          <w:sz w:val="21"/>
          <w:szCs w:val="22"/>
          <w:lang w:val="en-US" w:eastAsia="zh-CN" w:bidi="ar-SA"/>
        </w:rPr>
        <w:t>春晖国际认证</w:t>
      </w:r>
      <w:r>
        <w:rPr>
          <w:rFonts w:hint="eastAsia" w:asciiTheme="majorEastAsia" w:hAnsiTheme="majorEastAsia" w:eastAsiaTheme="majorEastAsia" w:cstheme="majorEastAsia"/>
          <w:sz w:val="21"/>
          <w:szCs w:val="22"/>
          <w:lang w:val="en-US" w:eastAsia="en-US" w:bidi="ar-SA"/>
        </w:rPr>
        <w:t>： 0371-63061778获取详细信息，亦可查询</w:t>
      </w:r>
      <w:r>
        <w:rPr>
          <w:rFonts w:hint="eastAsia" w:asciiTheme="majorEastAsia" w:hAnsiTheme="majorEastAsia" w:eastAsiaTheme="majorEastAsia" w:cstheme="majorEastAsia"/>
          <w:sz w:val="21"/>
          <w:szCs w:val="22"/>
          <w:lang w:val="en-US" w:eastAsia="zh-CN" w:bidi="ar-SA"/>
        </w:rPr>
        <w:t>春晖国际认证</w:t>
      </w:r>
      <w:r>
        <w:rPr>
          <w:rFonts w:hint="eastAsia" w:asciiTheme="majorEastAsia" w:hAnsiTheme="majorEastAsia" w:eastAsiaTheme="majorEastAsia" w:cstheme="majorEastAsia"/>
          <w:sz w:val="21"/>
          <w:szCs w:val="22"/>
          <w:lang w:val="en-US" w:eastAsia="en-US" w:bidi="ar-SA"/>
        </w:rPr>
        <w:t>网站</w:t>
      </w:r>
      <w:r>
        <w:rPr>
          <w:rFonts w:hint="eastAsia" w:asciiTheme="majorEastAsia" w:hAnsiTheme="majorEastAsia" w:eastAsiaTheme="majorEastAsia" w:cstheme="majorEastAsia"/>
          <w:sz w:val="21"/>
          <w:szCs w:val="22"/>
          <w:lang w:val="en-US" w:eastAsia="en-US" w:bidi="ar-SA"/>
        </w:rPr>
        <w:fldChar w:fldCharType="begin"/>
      </w:r>
      <w:r>
        <w:rPr>
          <w:rFonts w:hint="eastAsia" w:asciiTheme="majorEastAsia" w:hAnsiTheme="majorEastAsia" w:eastAsiaTheme="majorEastAsia" w:cstheme="majorEastAsia"/>
          <w:sz w:val="21"/>
          <w:szCs w:val="22"/>
          <w:lang w:val="en-US" w:eastAsia="en-US" w:bidi="ar-SA"/>
        </w:rPr>
        <w:instrText xml:space="preserve"> HYPERLINK "http://www.cqc.com.cn" </w:instrText>
      </w:r>
      <w:r>
        <w:rPr>
          <w:rFonts w:hint="eastAsia" w:asciiTheme="majorEastAsia" w:hAnsiTheme="majorEastAsia" w:eastAsiaTheme="majorEastAsia" w:cstheme="majorEastAsia"/>
          <w:sz w:val="21"/>
          <w:szCs w:val="22"/>
          <w:lang w:val="en-US" w:eastAsia="en-US" w:bidi="ar-SA"/>
        </w:rPr>
        <w:fldChar w:fldCharType="separate"/>
      </w:r>
      <w:r>
        <w:rPr>
          <w:rFonts w:hint="eastAsia" w:asciiTheme="majorEastAsia" w:hAnsiTheme="majorEastAsia" w:eastAsiaTheme="majorEastAsia" w:cstheme="majorEastAsia"/>
          <w:sz w:val="21"/>
          <w:szCs w:val="22"/>
          <w:lang w:val="en-US" w:eastAsia="zh-CN" w:bidi="ar-SA"/>
        </w:rPr>
        <w:t>www.chunhuiguoji.com</w:t>
      </w:r>
      <w:r>
        <w:rPr>
          <w:rFonts w:hint="eastAsia" w:asciiTheme="majorEastAsia" w:hAnsiTheme="majorEastAsia" w:eastAsiaTheme="majorEastAsia" w:cstheme="majorEastAsia"/>
          <w:sz w:val="21"/>
          <w:szCs w:val="22"/>
          <w:lang w:val="en-US" w:eastAsia="en-US" w:bidi="ar-SA"/>
        </w:rPr>
        <w:fldChar w:fldCharType="end"/>
      </w:r>
      <w:r>
        <w:rPr>
          <w:rFonts w:hint="eastAsia" w:asciiTheme="majorEastAsia" w:hAnsiTheme="majorEastAsia" w:eastAsiaTheme="majorEastAsia" w:cstheme="majorEastAsia"/>
          <w:sz w:val="21"/>
          <w:szCs w:val="22"/>
          <w:lang w:val="en-US" w:eastAsia="en-US" w:bidi="ar-SA"/>
        </w:rPr>
        <w:t xml:space="preserve">、认监委网站 </w:t>
      </w:r>
      <w:r>
        <w:rPr>
          <w:rFonts w:hint="eastAsia" w:asciiTheme="majorEastAsia" w:hAnsiTheme="majorEastAsia" w:eastAsiaTheme="majorEastAsia" w:cstheme="majorEastAsia"/>
          <w:sz w:val="21"/>
          <w:szCs w:val="22"/>
          <w:lang w:val="en-US" w:eastAsia="en-US" w:bidi="ar-SA"/>
        </w:rPr>
        <w:fldChar w:fldCharType="begin"/>
      </w:r>
      <w:r>
        <w:rPr>
          <w:rFonts w:hint="eastAsia" w:asciiTheme="majorEastAsia" w:hAnsiTheme="majorEastAsia" w:eastAsiaTheme="majorEastAsia" w:cstheme="majorEastAsia"/>
          <w:sz w:val="21"/>
          <w:szCs w:val="22"/>
          <w:lang w:val="en-US" w:eastAsia="en-US" w:bidi="ar-SA"/>
        </w:rPr>
        <w:instrText xml:space="preserve"> HYPERLINK "http://www.cnca.gov.cn/" \h </w:instrText>
      </w:r>
      <w:r>
        <w:rPr>
          <w:rFonts w:hint="eastAsia" w:asciiTheme="majorEastAsia" w:hAnsiTheme="majorEastAsia" w:eastAsiaTheme="majorEastAsia" w:cstheme="majorEastAsia"/>
          <w:sz w:val="21"/>
          <w:szCs w:val="22"/>
          <w:lang w:val="en-US" w:eastAsia="en-US" w:bidi="ar-SA"/>
        </w:rPr>
        <w:fldChar w:fldCharType="separate"/>
      </w:r>
      <w:r>
        <w:rPr>
          <w:rFonts w:hint="eastAsia" w:asciiTheme="majorEastAsia" w:hAnsiTheme="majorEastAsia" w:eastAsiaTheme="majorEastAsia" w:cstheme="majorEastAsia"/>
          <w:sz w:val="21"/>
          <w:szCs w:val="22"/>
          <w:lang w:val="en-US" w:eastAsia="en-US" w:bidi="ar-SA"/>
        </w:rPr>
        <w:t>www.cnca.gov.cn</w:t>
      </w:r>
      <w:r>
        <w:rPr>
          <w:rFonts w:hint="eastAsia" w:asciiTheme="majorEastAsia" w:hAnsiTheme="majorEastAsia" w:eastAsiaTheme="majorEastAsia" w:cstheme="majorEastAsia"/>
          <w:sz w:val="21"/>
          <w:szCs w:val="22"/>
          <w:lang w:val="en-US" w:eastAsia="en-US" w:bidi="ar-SA"/>
        </w:rPr>
        <w:fldChar w:fldCharType="end"/>
      </w:r>
      <w:r>
        <w:rPr>
          <w:rFonts w:hint="eastAsia" w:asciiTheme="majorEastAsia" w:hAnsiTheme="majorEastAsia" w:eastAsiaTheme="majorEastAsia" w:cstheme="majorEastAsia"/>
          <w:sz w:val="21"/>
          <w:szCs w:val="22"/>
          <w:lang w:val="en-US" w:eastAsia="en-US" w:bidi="ar-SA"/>
        </w:rPr>
        <w:t>。</w:t>
      </w:r>
      <w:bookmarkStart w:id="27" w:name="_GoBack"/>
      <w:bookmarkEnd w:id="27"/>
    </w:p>
    <w:sectPr>
      <w:pgSz w:w="11910" w:h="16840"/>
      <w:pgMar w:top="1134" w:right="1134" w:bottom="1134"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198AA"/>
    <w:multiLevelType w:val="multilevel"/>
    <w:tmpl w:val="9C7198AA"/>
    <w:lvl w:ilvl="0" w:tentative="0">
      <w:start w:val="6"/>
      <w:numFmt w:val="decimal"/>
      <w:lvlText w:val="%1"/>
      <w:lvlJc w:val="left"/>
      <w:pPr>
        <w:ind w:left="892" w:hanging="348"/>
        <w:jc w:val="left"/>
      </w:pPr>
      <w:rPr>
        <w:rFonts w:hint="default"/>
      </w:rPr>
    </w:lvl>
    <w:lvl w:ilvl="1" w:tentative="0">
      <w:start w:val="1"/>
      <w:numFmt w:val="decimal"/>
      <w:lvlText w:val="%1.%2"/>
      <w:lvlJc w:val="left"/>
      <w:pPr>
        <w:ind w:left="892" w:hanging="348"/>
        <w:jc w:val="left"/>
      </w:pPr>
      <w:rPr>
        <w:rFonts w:hint="default" w:ascii="微软雅黑" w:hAnsi="微软雅黑" w:eastAsia="微软雅黑" w:cs="微软雅黑"/>
        <w:spacing w:val="-1"/>
        <w:w w:val="99"/>
        <w:sz w:val="21"/>
        <w:szCs w:val="21"/>
      </w:rPr>
    </w:lvl>
    <w:lvl w:ilvl="2" w:tentative="0">
      <w:start w:val="1"/>
      <w:numFmt w:val="decimal"/>
      <w:lvlText w:val="%1.%2.%3"/>
      <w:lvlJc w:val="left"/>
      <w:pPr>
        <w:ind w:left="107" w:hanging="526"/>
        <w:jc w:val="left"/>
      </w:pPr>
      <w:rPr>
        <w:rFonts w:hint="default" w:ascii="微软雅黑" w:hAnsi="微软雅黑" w:eastAsia="微软雅黑" w:cs="微软雅黑"/>
        <w:spacing w:val="-1"/>
        <w:w w:val="99"/>
        <w:sz w:val="21"/>
        <w:szCs w:val="21"/>
      </w:rPr>
    </w:lvl>
    <w:lvl w:ilvl="3" w:tentative="0">
      <w:start w:val="0"/>
      <w:numFmt w:val="bullet"/>
      <w:lvlText w:val="•"/>
      <w:lvlJc w:val="left"/>
      <w:pPr>
        <w:ind w:left="3021" w:hanging="526"/>
      </w:pPr>
      <w:rPr>
        <w:rFonts w:hint="default"/>
      </w:rPr>
    </w:lvl>
    <w:lvl w:ilvl="4" w:tentative="0">
      <w:start w:val="0"/>
      <w:numFmt w:val="bullet"/>
      <w:lvlText w:val="•"/>
      <w:lvlJc w:val="left"/>
      <w:pPr>
        <w:ind w:left="4082" w:hanging="526"/>
      </w:pPr>
      <w:rPr>
        <w:rFonts w:hint="default"/>
      </w:rPr>
    </w:lvl>
    <w:lvl w:ilvl="5" w:tentative="0">
      <w:start w:val="0"/>
      <w:numFmt w:val="bullet"/>
      <w:lvlText w:val="•"/>
      <w:lvlJc w:val="left"/>
      <w:pPr>
        <w:ind w:left="5143" w:hanging="526"/>
      </w:pPr>
      <w:rPr>
        <w:rFonts w:hint="default"/>
      </w:rPr>
    </w:lvl>
    <w:lvl w:ilvl="6" w:tentative="0">
      <w:start w:val="0"/>
      <w:numFmt w:val="bullet"/>
      <w:lvlText w:val="•"/>
      <w:lvlJc w:val="left"/>
      <w:pPr>
        <w:ind w:left="6203" w:hanging="526"/>
      </w:pPr>
      <w:rPr>
        <w:rFonts w:hint="default"/>
      </w:rPr>
    </w:lvl>
    <w:lvl w:ilvl="7" w:tentative="0">
      <w:start w:val="0"/>
      <w:numFmt w:val="bullet"/>
      <w:lvlText w:val="•"/>
      <w:lvlJc w:val="left"/>
      <w:pPr>
        <w:ind w:left="7264" w:hanging="526"/>
      </w:pPr>
      <w:rPr>
        <w:rFonts w:hint="default"/>
      </w:rPr>
    </w:lvl>
    <w:lvl w:ilvl="8" w:tentative="0">
      <w:start w:val="0"/>
      <w:numFmt w:val="bullet"/>
      <w:lvlText w:val="•"/>
      <w:lvlJc w:val="left"/>
      <w:pPr>
        <w:ind w:left="8325" w:hanging="526"/>
      </w:pPr>
      <w:rPr>
        <w:rFonts w:hint="default"/>
      </w:rPr>
    </w:lvl>
  </w:abstractNum>
  <w:abstractNum w:abstractNumId="1">
    <w:nsid w:val="9D7EB8E6"/>
    <w:multiLevelType w:val="multilevel"/>
    <w:tmpl w:val="9D7EB8E6"/>
    <w:lvl w:ilvl="0" w:tentative="0">
      <w:start w:val="7"/>
      <w:numFmt w:val="decimal"/>
      <w:lvlText w:val="%1"/>
      <w:lvlJc w:val="left"/>
      <w:pPr>
        <w:ind w:left="944" w:hanging="401"/>
        <w:jc w:val="left"/>
      </w:pPr>
      <w:rPr>
        <w:rFonts w:hint="default"/>
      </w:rPr>
    </w:lvl>
    <w:lvl w:ilvl="1" w:tentative="0">
      <w:start w:val="1"/>
      <w:numFmt w:val="decimal"/>
      <w:lvlText w:val="%1.%2"/>
      <w:lvlJc w:val="left"/>
      <w:pPr>
        <w:ind w:left="944" w:hanging="401"/>
        <w:jc w:val="left"/>
      </w:pPr>
      <w:rPr>
        <w:rFonts w:hint="default" w:ascii="微软雅黑" w:hAnsi="微软雅黑" w:eastAsia="微软雅黑" w:cs="微软雅黑"/>
        <w:spacing w:val="-1"/>
        <w:w w:val="99"/>
        <w:sz w:val="21"/>
        <w:szCs w:val="21"/>
      </w:rPr>
    </w:lvl>
    <w:lvl w:ilvl="2" w:tentative="0">
      <w:start w:val="1"/>
      <w:numFmt w:val="decimal"/>
      <w:lvlText w:val="%1.%2.%3"/>
      <w:lvlJc w:val="left"/>
      <w:pPr>
        <w:ind w:left="1050" w:hanging="524"/>
        <w:jc w:val="left"/>
      </w:pPr>
      <w:rPr>
        <w:rFonts w:hint="default" w:ascii="微软雅黑" w:hAnsi="微软雅黑" w:eastAsia="微软雅黑" w:cs="微软雅黑"/>
        <w:spacing w:val="-1"/>
        <w:w w:val="99"/>
        <w:sz w:val="21"/>
        <w:szCs w:val="21"/>
      </w:rPr>
    </w:lvl>
    <w:lvl w:ilvl="3" w:tentative="0">
      <w:start w:val="0"/>
      <w:numFmt w:val="bullet"/>
      <w:lvlText w:val="•"/>
      <w:lvlJc w:val="left"/>
      <w:pPr>
        <w:ind w:left="3146" w:hanging="524"/>
      </w:pPr>
      <w:rPr>
        <w:rFonts w:hint="default"/>
      </w:rPr>
    </w:lvl>
    <w:lvl w:ilvl="4" w:tentative="0">
      <w:start w:val="0"/>
      <w:numFmt w:val="bullet"/>
      <w:lvlText w:val="•"/>
      <w:lvlJc w:val="left"/>
      <w:pPr>
        <w:ind w:left="4189" w:hanging="524"/>
      </w:pPr>
      <w:rPr>
        <w:rFonts w:hint="default"/>
      </w:rPr>
    </w:lvl>
    <w:lvl w:ilvl="5" w:tentative="0">
      <w:start w:val="0"/>
      <w:numFmt w:val="bullet"/>
      <w:lvlText w:val="•"/>
      <w:lvlJc w:val="left"/>
      <w:pPr>
        <w:ind w:left="5232" w:hanging="524"/>
      </w:pPr>
      <w:rPr>
        <w:rFonts w:hint="default"/>
      </w:rPr>
    </w:lvl>
    <w:lvl w:ilvl="6" w:tentative="0">
      <w:start w:val="0"/>
      <w:numFmt w:val="bullet"/>
      <w:lvlText w:val="•"/>
      <w:lvlJc w:val="left"/>
      <w:pPr>
        <w:ind w:left="6275" w:hanging="524"/>
      </w:pPr>
      <w:rPr>
        <w:rFonts w:hint="default"/>
      </w:rPr>
    </w:lvl>
    <w:lvl w:ilvl="7" w:tentative="0">
      <w:start w:val="0"/>
      <w:numFmt w:val="bullet"/>
      <w:lvlText w:val="•"/>
      <w:lvlJc w:val="left"/>
      <w:pPr>
        <w:ind w:left="7318" w:hanging="524"/>
      </w:pPr>
      <w:rPr>
        <w:rFonts w:hint="default"/>
      </w:rPr>
    </w:lvl>
    <w:lvl w:ilvl="8" w:tentative="0">
      <w:start w:val="0"/>
      <w:numFmt w:val="bullet"/>
      <w:lvlText w:val="•"/>
      <w:lvlJc w:val="left"/>
      <w:pPr>
        <w:ind w:left="8361" w:hanging="524"/>
      </w:pPr>
      <w:rPr>
        <w:rFonts w:hint="default"/>
      </w:rPr>
    </w:lvl>
  </w:abstractNum>
  <w:abstractNum w:abstractNumId="2">
    <w:nsid w:val="9DFC6F65"/>
    <w:multiLevelType w:val="multilevel"/>
    <w:tmpl w:val="9DFC6F65"/>
    <w:lvl w:ilvl="0" w:tentative="0">
      <w:start w:val="2"/>
      <w:numFmt w:val="decimal"/>
      <w:lvlText w:val="%1"/>
      <w:lvlJc w:val="left"/>
      <w:pPr>
        <w:ind w:left="928" w:hanging="401"/>
        <w:jc w:val="left"/>
      </w:pPr>
      <w:rPr>
        <w:rFonts w:hint="default"/>
      </w:rPr>
    </w:lvl>
    <w:lvl w:ilvl="1" w:tentative="0">
      <w:start w:val="1"/>
      <w:numFmt w:val="decimal"/>
      <w:lvlText w:val="%1.%2"/>
      <w:lvlJc w:val="left"/>
      <w:pPr>
        <w:ind w:left="928" w:hanging="401"/>
        <w:jc w:val="left"/>
      </w:pPr>
      <w:rPr>
        <w:rFonts w:hint="default" w:ascii="微软雅黑" w:hAnsi="微软雅黑" w:eastAsia="微软雅黑" w:cs="微软雅黑"/>
        <w:spacing w:val="-1"/>
        <w:w w:val="99"/>
        <w:sz w:val="21"/>
        <w:szCs w:val="21"/>
      </w:rPr>
    </w:lvl>
    <w:lvl w:ilvl="2" w:tentative="0">
      <w:start w:val="0"/>
      <w:numFmt w:val="bullet"/>
      <w:lvlText w:val="•"/>
      <w:lvlJc w:val="left"/>
      <w:pPr>
        <w:ind w:left="2825" w:hanging="401"/>
      </w:pPr>
      <w:rPr>
        <w:rFonts w:hint="default"/>
      </w:rPr>
    </w:lvl>
    <w:lvl w:ilvl="3" w:tentative="0">
      <w:start w:val="0"/>
      <w:numFmt w:val="bullet"/>
      <w:lvlText w:val="•"/>
      <w:lvlJc w:val="left"/>
      <w:pPr>
        <w:ind w:left="3778" w:hanging="401"/>
      </w:pPr>
      <w:rPr>
        <w:rFonts w:hint="default"/>
      </w:rPr>
    </w:lvl>
    <w:lvl w:ilvl="4" w:tentative="0">
      <w:start w:val="0"/>
      <w:numFmt w:val="bullet"/>
      <w:lvlText w:val="•"/>
      <w:lvlJc w:val="left"/>
      <w:pPr>
        <w:ind w:left="4730" w:hanging="401"/>
      </w:pPr>
      <w:rPr>
        <w:rFonts w:hint="default"/>
      </w:rPr>
    </w:lvl>
    <w:lvl w:ilvl="5" w:tentative="0">
      <w:start w:val="0"/>
      <w:numFmt w:val="bullet"/>
      <w:lvlText w:val="•"/>
      <w:lvlJc w:val="left"/>
      <w:pPr>
        <w:ind w:left="5683" w:hanging="401"/>
      </w:pPr>
      <w:rPr>
        <w:rFonts w:hint="default"/>
      </w:rPr>
    </w:lvl>
    <w:lvl w:ilvl="6" w:tentative="0">
      <w:start w:val="0"/>
      <w:numFmt w:val="bullet"/>
      <w:lvlText w:val="•"/>
      <w:lvlJc w:val="left"/>
      <w:pPr>
        <w:ind w:left="6636" w:hanging="401"/>
      </w:pPr>
      <w:rPr>
        <w:rFonts w:hint="default"/>
      </w:rPr>
    </w:lvl>
    <w:lvl w:ilvl="7" w:tentative="0">
      <w:start w:val="0"/>
      <w:numFmt w:val="bullet"/>
      <w:lvlText w:val="•"/>
      <w:lvlJc w:val="left"/>
      <w:pPr>
        <w:ind w:left="7588" w:hanging="401"/>
      </w:pPr>
      <w:rPr>
        <w:rFonts w:hint="default"/>
      </w:rPr>
    </w:lvl>
    <w:lvl w:ilvl="8" w:tentative="0">
      <w:start w:val="0"/>
      <w:numFmt w:val="bullet"/>
      <w:lvlText w:val="•"/>
      <w:lvlJc w:val="left"/>
      <w:pPr>
        <w:ind w:left="8541" w:hanging="401"/>
      </w:pPr>
      <w:rPr>
        <w:rFonts w:hint="default"/>
      </w:rPr>
    </w:lvl>
  </w:abstractNum>
  <w:abstractNum w:abstractNumId="3">
    <w:nsid w:val="CD699D1D"/>
    <w:multiLevelType w:val="multilevel"/>
    <w:tmpl w:val="CD699D1D"/>
    <w:lvl w:ilvl="0" w:tentative="0">
      <w:start w:val="1"/>
      <w:numFmt w:val="decimal"/>
      <w:lvlText w:val="%1)"/>
      <w:lvlJc w:val="left"/>
      <w:pPr>
        <w:ind w:left="107" w:hanging="404"/>
        <w:jc w:val="left"/>
      </w:pPr>
      <w:rPr>
        <w:rFonts w:hint="default" w:ascii="微软雅黑" w:hAnsi="微软雅黑" w:eastAsia="微软雅黑" w:cs="微软雅黑"/>
        <w:spacing w:val="-1"/>
        <w:w w:val="99"/>
        <w:sz w:val="21"/>
        <w:szCs w:val="21"/>
      </w:rPr>
    </w:lvl>
    <w:lvl w:ilvl="1" w:tentative="0">
      <w:start w:val="0"/>
      <w:numFmt w:val="bullet"/>
      <w:lvlText w:val="•"/>
      <w:lvlJc w:val="left"/>
      <w:pPr>
        <w:ind w:left="1134" w:hanging="404"/>
      </w:pPr>
      <w:rPr>
        <w:rFonts w:hint="default"/>
      </w:rPr>
    </w:lvl>
    <w:lvl w:ilvl="2" w:tentative="0">
      <w:start w:val="0"/>
      <w:numFmt w:val="bullet"/>
      <w:lvlText w:val="•"/>
      <w:lvlJc w:val="left"/>
      <w:pPr>
        <w:ind w:left="2169" w:hanging="404"/>
      </w:pPr>
      <w:rPr>
        <w:rFonts w:hint="default"/>
      </w:rPr>
    </w:lvl>
    <w:lvl w:ilvl="3" w:tentative="0">
      <w:start w:val="0"/>
      <w:numFmt w:val="bullet"/>
      <w:lvlText w:val="•"/>
      <w:lvlJc w:val="left"/>
      <w:pPr>
        <w:ind w:left="3204" w:hanging="404"/>
      </w:pPr>
      <w:rPr>
        <w:rFonts w:hint="default"/>
      </w:rPr>
    </w:lvl>
    <w:lvl w:ilvl="4" w:tentative="0">
      <w:start w:val="0"/>
      <w:numFmt w:val="bullet"/>
      <w:lvlText w:val="•"/>
      <w:lvlJc w:val="left"/>
      <w:pPr>
        <w:ind w:left="4238" w:hanging="404"/>
      </w:pPr>
      <w:rPr>
        <w:rFonts w:hint="default"/>
      </w:rPr>
    </w:lvl>
    <w:lvl w:ilvl="5" w:tentative="0">
      <w:start w:val="0"/>
      <w:numFmt w:val="bullet"/>
      <w:lvlText w:val="•"/>
      <w:lvlJc w:val="left"/>
      <w:pPr>
        <w:ind w:left="5273" w:hanging="404"/>
      </w:pPr>
      <w:rPr>
        <w:rFonts w:hint="default"/>
      </w:rPr>
    </w:lvl>
    <w:lvl w:ilvl="6" w:tentative="0">
      <w:start w:val="0"/>
      <w:numFmt w:val="bullet"/>
      <w:lvlText w:val="•"/>
      <w:lvlJc w:val="left"/>
      <w:pPr>
        <w:ind w:left="6308" w:hanging="404"/>
      </w:pPr>
      <w:rPr>
        <w:rFonts w:hint="default"/>
      </w:rPr>
    </w:lvl>
    <w:lvl w:ilvl="7" w:tentative="0">
      <w:start w:val="0"/>
      <w:numFmt w:val="bullet"/>
      <w:lvlText w:val="•"/>
      <w:lvlJc w:val="left"/>
      <w:pPr>
        <w:ind w:left="7342" w:hanging="404"/>
      </w:pPr>
      <w:rPr>
        <w:rFonts w:hint="default"/>
      </w:rPr>
    </w:lvl>
    <w:lvl w:ilvl="8" w:tentative="0">
      <w:start w:val="0"/>
      <w:numFmt w:val="bullet"/>
      <w:lvlText w:val="•"/>
      <w:lvlJc w:val="left"/>
      <w:pPr>
        <w:ind w:left="8377" w:hanging="404"/>
      </w:pPr>
      <w:rPr>
        <w:rFonts w:hint="default"/>
      </w:rPr>
    </w:lvl>
  </w:abstractNum>
  <w:abstractNum w:abstractNumId="4">
    <w:nsid w:val="D7936317"/>
    <w:multiLevelType w:val="multilevel"/>
    <w:tmpl w:val="D7936317"/>
    <w:lvl w:ilvl="0" w:tentative="0">
      <w:start w:val="9"/>
      <w:numFmt w:val="decimal"/>
      <w:lvlText w:val="%1）"/>
      <w:lvlJc w:val="left"/>
      <w:pPr>
        <w:ind w:left="876" w:hanging="333"/>
        <w:jc w:val="left"/>
      </w:pPr>
      <w:rPr>
        <w:rFonts w:hint="default" w:ascii="微软雅黑" w:hAnsi="微软雅黑" w:eastAsia="微软雅黑" w:cs="微软雅黑"/>
        <w:spacing w:val="-1"/>
        <w:w w:val="99"/>
        <w:sz w:val="19"/>
        <w:szCs w:val="19"/>
      </w:rPr>
    </w:lvl>
    <w:lvl w:ilvl="1" w:tentative="0">
      <w:start w:val="0"/>
      <w:numFmt w:val="bullet"/>
      <w:lvlText w:val="•"/>
      <w:lvlJc w:val="left"/>
      <w:pPr>
        <w:ind w:left="1836" w:hanging="333"/>
      </w:pPr>
      <w:rPr>
        <w:rFonts w:hint="default"/>
      </w:rPr>
    </w:lvl>
    <w:lvl w:ilvl="2" w:tentative="0">
      <w:start w:val="0"/>
      <w:numFmt w:val="bullet"/>
      <w:lvlText w:val="•"/>
      <w:lvlJc w:val="left"/>
      <w:pPr>
        <w:ind w:left="2793" w:hanging="333"/>
      </w:pPr>
      <w:rPr>
        <w:rFonts w:hint="default"/>
      </w:rPr>
    </w:lvl>
    <w:lvl w:ilvl="3" w:tentative="0">
      <w:start w:val="0"/>
      <w:numFmt w:val="bullet"/>
      <w:lvlText w:val="•"/>
      <w:lvlJc w:val="left"/>
      <w:pPr>
        <w:ind w:left="3750" w:hanging="333"/>
      </w:pPr>
      <w:rPr>
        <w:rFonts w:hint="default"/>
      </w:rPr>
    </w:lvl>
    <w:lvl w:ilvl="4" w:tentative="0">
      <w:start w:val="0"/>
      <w:numFmt w:val="bullet"/>
      <w:lvlText w:val="•"/>
      <w:lvlJc w:val="left"/>
      <w:pPr>
        <w:ind w:left="4706" w:hanging="333"/>
      </w:pPr>
      <w:rPr>
        <w:rFonts w:hint="default"/>
      </w:rPr>
    </w:lvl>
    <w:lvl w:ilvl="5" w:tentative="0">
      <w:start w:val="0"/>
      <w:numFmt w:val="bullet"/>
      <w:lvlText w:val="•"/>
      <w:lvlJc w:val="left"/>
      <w:pPr>
        <w:ind w:left="5663" w:hanging="333"/>
      </w:pPr>
      <w:rPr>
        <w:rFonts w:hint="default"/>
      </w:rPr>
    </w:lvl>
    <w:lvl w:ilvl="6" w:tentative="0">
      <w:start w:val="0"/>
      <w:numFmt w:val="bullet"/>
      <w:lvlText w:val="•"/>
      <w:lvlJc w:val="left"/>
      <w:pPr>
        <w:ind w:left="6620" w:hanging="333"/>
      </w:pPr>
      <w:rPr>
        <w:rFonts w:hint="default"/>
      </w:rPr>
    </w:lvl>
    <w:lvl w:ilvl="7" w:tentative="0">
      <w:start w:val="0"/>
      <w:numFmt w:val="bullet"/>
      <w:lvlText w:val="•"/>
      <w:lvlJc w:val="left"/>
      <w:pPr>
        <w:ind w:left="7576" w:hanging="333"/>
      </w:pPr>
      <w:rPr>
        <w:rFonts w:hint="default"/>
      </w:rPr>
    </w:lvl>
    <w:lvl w:ilvl="8" w:tentative="0">
      <w:start w:val="0"/>
      <w:numFmt w:val="bullet"/>
      <w:lvlText w:val="•"/>
      <w:lvlJc w:val="left"/>
      <w:pPr>
        <w:ind w:left="8533" w:hanging="333"/>
      </w:pPr>
      <w:rPr>
        <w:rFonts w:hint="default"/>
      </w:rPr>
    </w:lvl>
  </w:abstractNum>
  <w:abstractNum w:abstractNumId="5">
    <w:nsid w:val="E43A772E"/>
    <w:multiLevelType w:val="multilevel"/>
    <w:tmpl w:val="E43A772E"/>
    <w:lvl w:ilvl="0" w:tentative="0">
      <w:start w:val="9"/>
      <w:numFmt w:val="decimal"/>
      <w:lvlText w:val="%1"/>
      <w:lvlJc w:val="left"/>
      <w:pPr>
        <w:ind w:left="944" w:hanging="401"/>
        <w:jc w:val="left"/>
      </w:pPr>
      <w:rPr>
        <w:rFonts w:hint="default"/>
      </w:rPr>
    </w:lvl>
    <w:lvl w:ilvl="1" w:tentative="0">
      <w:start w:val="4"/>
      <w:numFmt w:val="decimal"/>
      <w:lvlText w:val="%1.%2"/>
      <w:lvlJc w:val="left"/>
      <w:pPr>
        <w:ind w:left="944" w:hanging="401"/>
        <w:jc w:val="left"/>
      </w:pPr>
      <w:rPr>
        <w:rFonts w:hint="default" w:ascii="微软雅黑" w:hAnsi="微软雅黑" w:eastAsia="微软雅黑" w:cs="微软雅黑"/>
        <w:spacing w:val="-1"/>
        <w:w w:val="99"/>
        <w:sz w:val="21"/>
        <w:szCs w:val="21"/>
      </w:rPr>
    </w:lvl>
    <w:lvl w:ilvl="2" w:tentative="0">
      <w:start w:val="1"/>
      <w:numFmt w:val="decimal"/>
      <w:lvlText w:val="%1.%2.%3"/>
      <w:lvlJc w:val="left"/>
      <w:pPr>
        <w:ind w:left="107" w:hanging="526"/>
        <w:jc w:val="left"/>
      </w:pPr>
      <w:rPr>
        <w:rFonts w:hint="default" w:ascii="微软雅黑" w:hAnsi="微软雅黑" w:eastAsia="微软雅黑" w:cs="微软雅黑"/>
        <w:spacing w:val="-1"/>
        <w:w w:val="99"/>
        <w:sz w:val="21"/>
        <w:szCs w:val="21"/>
      </w:rPr>
    </w:lvl>
    <w:lvl w:ilvl="3" w:tentative="0">
      <w:start w:val="0"/>
      <w:numFmt w:val="bullet"/>
      <w:lvlText w:val="•"/>
      <w:lvlJc w:val="left"/>
      <w:pPr>
        <w:ind w:left="3052" w:hanging="526"/>
      </w:pPr>
      <w:rPr>
        <w:rFonts w:hint="default"/>
      </w:rPr>
    </w:lvl>
    <w:lvl w:ilvl="4" w:tentative="0">
      <w:start w:val="0"/>
      <w:numFmt w:val="bullet"/>
      <w:lvlText w:val="•"/>
      <w:lvlJc w:val="left"/>
      <w:pPr>
        <w:ind w:left="4109" w:hanging="526"/>
      </w:pPr>
      <w:rPr>
        <w:rFonts w:hint="default"/>
      </w:rPr>
    </w:lvl>
    <w:lvl w:ilvl="5" w:tentative="0">
      <w:start w:val="0"/>
      <w:numFmt w:val="bullet"/>
      <w:lvlText w:val="•"/>
      <w:lvlJc w:val="left"/>
      <w:pPr>
        <w:ind w:left="5165" w:hanging="526"/>
      </w:pPr>
      <w:rPr>
        <w:rFonts w:hint="default"/>
      </w:rPr>
    </w:lvl>
    <w:lvl w:ilvl="6" w:tentative="0">
      <w:start w:val="0"/>
      <w:numFmt w:val="bullet"/>
      <w:lvlText w:val="•"/>
      <w:lvlJc w:val="left"/>
      <w:pPr>
        <w:ind w:left="6221" w:hanging="526"/>
      </w:pPr>
      <w:rPr>
        <w:rFonts w:hint="default"/>
      </w:rPr>
    </w:lvl>
    <w:lvl w:ilvl="7" w:tentative="0">
      <w:start w:val="0"/>
      <w:numFmt w:val="bullet"/>
      <w:lvlText w:val="•"/>
      <w:lvlJc w:val="left"/>
      <w:pPr>
        <w:ind w:left="7278" w:hanging="526"/>
      </w:pPr>
      <w:rPr>
        <w:rFonts w:hint="default"/>
      </w:rPr>
    </w:lvl>
    <w:lvl w:ilvl="8" w:tentative="0">
      <w:start w:val="0"/>
      <w:numFmt w:val="bullet"/>
      <w:lvlText w:val="•"/>
      <w:lvlJc w:val="left"/>
      <w:pPr>
        <w:ind w:left="8334" w:hanging="526"/>
      </w:pPr>
      <w:rPr>
        <w:rFonts w:hint="default"/>
      </w:rPr>
    </w:lvl>
  </w:abstractNum>
  <w:abstractNum w:abstractNumId="6">
    <w:nsid w:val="E52D9448"/>
    <w:multiLevelType w:val="multilevel"/>
    <w:tmpl w:val="E52D9448"/>
    <w:lvl w:ilvl="0" w:tentative="0">
      <w:start w:val="1"/>
      <w:numFmt w:val="decimal"/>
      <w:lvlText w:val="%1)"/>
      <w:lvlJc w:val="left"/>
      <w:pPr>
        <w:ind w:left="947" w:hanging="404"/>
        <w:jc w:val="left"/>
      </w:pPr>
      <w:rPr>
        <w:rFonts w:hint="default"/>
        <w:spacing w:val="-1"/>
        <w:w w:val="99"/>
      </w:rPr>
    </w:lvl>
    <w:lvl w:ilvl="1" w:tentative="0">
      <w:start w:val="0"/>
      <w:numFmt w:val="bullet"/>
      <w:lvlText w:val="•"/>
      <w:lvlJc w:val="left"/>
      <w:pPr>
        <w:ind w:left="1890" w:hanging="404"/>
      </w:pPr>
      <w:rPr>
        <w:rFonts w:hint="default"/>
      </w:rPr>
    </w:lvl>
    <w:lvl w:ilvl="2" w:tentative="0">
      <w:start w:val="0"/>
      <w:numFmt w:val="bullet"/>
      <w:lvlText w:val="•"/>
      <w:lvlJc w:val="left"/>
      <w:pPr>
        <w:ind w:left="2841" w:hanging="404"/>
      </w:pPr>
      <w:rPr>
        <w:rFonts w:hint="default"/>
      </w:rPr>
    </w:lvl>
    <w:lvl w:ilvl="3" w:tentative="0">
      <w:start w:val="0"/>
      <w:numFmt w:val="bullet"/>
      <w:lvlText w:val="•"/>
      <w:lvlJc w:val="left"/>
      <w:pPr>
        <w:ind w:left="3792" w:hanging="404"/>
      </w:pPr>
      <w:rPr>
        <w:rFonts w:hint="default"/>
      </w:rPr>
    </w:lvl>
    <w:lvl w:ilvl="4" w:tentative="0">
      <w:start w:val="0"/>
      <w:numFmt w:val="bullet"/>
      <w:lvlText w:val="•"/>
      <w:lvlJc w:val="left"/>
      <w:pPr>
        <w:ind w:left="4742" w:hanging="404"/>
      </w:pPr>
      <w:rPr>
        <w:rFonts w:hint="default"/>
      </w:rPr>
    </w:lvl>
    <w:lvl w:ilvl="5" w:tentative="0">
      <w:start w:val="0"/>
      <w:numFmt w:val="bullet"/>
      <w:lvlText w:val="•"/>
      <w:lvlJc w:val="left"/>
      <w:pPr>
        <w:ind w:left="5693" w:hanging="404"/>
      </w:pPr>
      <w:rPr>
        <w:rFonts w:hint="default"/>
      </w:rPr>
    </w:lvl>
    <w:lvl w:ilvl="6" w:tentative="0">
      <w:start w:val="0"/>
      <w:numFmt w:val="bullet"/>
      <w:lvlText w:val="•"/>
      <w:lvlJc w:val="left"/>
      <w:pPr>
        <w:ind w:left="6644" w:hanging="404"/>
      </w:pPr>
      <w:rPr>
        <w:rFonts w:hint="default"/>
      </w:rPr>
    </w:lvl>
    <w:lvl w:ilvl="7" w:tentative="0">
      <w:start w:val="0"/>
      <w:numFmt w:val="bullet"/>
      <w:lvlText w:val="•"/>
      <w:lvlJc w:val="left"/>
      <w:pPr>
        <w:ind w:left="7594" w:hanging="404"/>
      </w:pPr>
      <w:rPr>
        <w:rFonts w:hint="default"/>
      </w:rPr>
    </w:lvl>
    <w:lvl w:ilvl="8" w:tentative="0">
      <w:start w:val="0"/>
      <w:numFmt w:val="bullet"/>
      <w:lvlText w:val="•"/>
      <w:lvlJc w:val="left"/>
      <w:pPr>
        <w:ind w:left="8545" w:hanging="404"/>
      </w:pPr>
      <w:rPr>
        <w:rFonts w:hint="default"/>
      </w:rPr>
    </w:lvl>
  </w:abstractNum>
  <w:abstractNum w:abstractNumId="7">
    <w:nsid w:val="EA28CC15"/>
    <w:multiLevelType w:val="multilevel"/>
    <w:tmpl w:val="EA28CC15"/>
    <w:lvl w:ilvl="0" w:tentative="0">
      <w:start w:val="1"/>
      <w:numFmt w:val="decimal"/>
      <w:lvlText w:val="%1）"/>
      <w:lvlJc w:val="left"/>
      <w:pPr>
        <w:ind w:left="876" w:hanging="333"/>
        <w:jc w:val="left"/>
      </w:pPr>
      <w:rPr>
        <w:rFonts w:hint="default" w:ascii="微软雅黑" w:hAnsi="微软雅黑" w:eastAsia="微软雅黑" w:cs="微软雅黑"/>
        <w:spacing w:val="-1"/>
        <w:w w:val="99"/>
        <w:sz w:val="19"/>
        <w:szCs w:val="19"/>
      </w:rPr>
    </w:lvl>
    <w:lvl w:ilvl="1" w:tentative="0">
      <w:start w:val="0"/>
      <w:numFmt w:val="bullet"/>
      <w:lvlText w:val="•"/>
      <w:lvlJc w:val="left"/>
      <w:pPr>
        <w:ind w:left="1836" w:hanging="333"/>
      </w:pPr>
      <w:rPr>
        <w:rFonts w:hint="default"/>
      </w:rPr>
    </w:lvl>
    <w:lvl w:ilvl="2" w:tentative="0">
      <w:start w:val="0"/>
      <w:numFmt w:val="bullet"/>
      <w:lvlText w:val="•"/>
      <w:lvlJc w:val="left"/>
      <w:pPr>
        <w:ind w:left="2793" w:hanging="333"/>
      </w:pPr>
      <w:rPr>
        <w:rFonts w:hint="default"/>
      </w:rPr>
    </w:lvl>
    <w:lvl w:ilvl="3" w:tentative="0">
      <w:start w:val="0"/>
      <w:numFmt w:val="bullet"/>
      <w:lvlText w:val="•"/>
      <w:lvlJc w:val="left"/>
      <w:pPr>
        <w:ind w:left="3750" w:hanging="333"/>
      </w:pPr>
      <w:rPr>
        <w:rFonts w:hint="default"/>
      </w:rPr>
    </w:lvl>
    <w:lvl w:ilvl="4" w:tentative="0">
      <w:start w:val="0"/>
      <w:numFmt w:val="bullet"/>
      <w:lvlText w:val="•"/>
      <w:lvlJc w:val="left"/>
      <w:pPr>
        <w:ind w:left="4706" w:hanging="333"/>
      </w:pPr>
      <w:rPr>
        <w:rFonts w:hint="default"/>
      </w:rPr>
    </w:lvl>
    <w:lvl w:ilvl="5" w:tentative="0">
      <w:start w:val="0"/>
      <w:numFmt w:val="bullet"/>
      <w:lvlText w:val="•"/>
      <w:lvlJc w:val="left"/>
      <w:pPr>
        <w:ind w:left="5663" w:hanging="333"/>
      </w:pPr>
      <w:rPr>
        <w:rFonts w:hint="default"/>
      </w:rPr>
    </w:lvl>
    <w:lvl w:ilvl="6" w:tentative="0">
      <w:start w:val="0"/>
      <w:numFmt w:val="bullet"/>
      <w:lvlText w:val="•"/>
      <w:lvlJc w:val="left"/>
      <w:pPr>
        <w:ind w:left="6620" w:hanging="333"/>
      </w:pPr>
      <w:rPr>
        <w:rFonts w:hint="default"/>
      </w:rPr>
    </w:lvl>
    <w:lvl w:ilvl="7" w:tentative="0">
      <w:start w:val="0"/>
      <w:numFmt w:val="bullet"/>
      <w:lvlText w:val="•"/>
      <w:lvlJc w:val="left"/>
      <w:pPr>
        <w:ind w:left="7576" w:hanging="333"/>
      </w:pPr>
      <w:rPr>
        <w:rFonts w:hint="default"/>
      </w:rPr>
    </w:lvl>
    <w:lvl w:ilvl="8" w:tentative="0">
      <w:start w:val="0"/>
      <w:numFmt w:val="bullet"/>
      <w:lvlText w:val="•"/>
      <w:lvlJc w:val="left"/>
      <w:pPr>
        <w:ind w:left="8533" w:hanging="333"/>
      </w:pPr>
      <w:rPr>
        <w:rFonts w:hint="default"/>
      </w:rPr>
    </w:lvl>
  </w:abstractNum>
  <w:abstractNum w:abstractNumId="8">
    <w:nsid w:val="F237ACA1"/>
    <w:multiLevelType w:val="multilevel"/>
    <w:tmpl w:val="F237ACA1"/>
    <w:lvl w:ilvl="0" w:tentative="0">
      <w:start w:val="1"/>
      <w:numFmt w:val="decimal"/>
      <w:lvlText w:val="%1）"/>
      <w:lvlJc w:val="left"/>
      <w:pPr>
        <w:ind w:left="876" w:hanging="333"/>
        <w:jc w:val="left"/>
      </w:pPr>
      <w:rPr>
        <w:rFonts w:hint="default" w:ascii="微软雅黑" w:hAnsi="微软雅黑" w:eastAsia="微软雅黑" w:cs="微软雅黑"/>
        <w:spacing w:val="-1"/>
        <w:w w:val="99"/>
        <w:sz w:val="19"/>
        <w:szCs w:val="19"/>
      </w:rPr>
    </w:lvl>
    <w:lvl w:ilvl="1" w:tentative="0">
      <w:start w:val="0"/>
      <w:numFmt w:val="bullet"/>
      <w:lvlText w:val="•"/>
      <w:lvlJc w:val="left"/>
      <w:pPr>
        <w:ind w:left="1836" w:hanging="333"/>
      </w:pPr>
      <w:rPr>
        <w:rFonts w:hint="default"/>
      </w:rPr>
    </w:lvl>
    <w:lvl w:ilvl="2" w:tentative="0">
      <w:start w:val="0"/>
      <w:numFmt w:val="bullet"/>
      <w:lvlText w:val="•"/>
      <w:lvlJc w:val="left"/>
      <w:pPr>
        <w:ind w:left="2793" w:hanging="333"/>
      </w:pPr>
      <w:rPr>
        <w:rFonts w:hint="default"/>
      </w:rPr>
    </w:lvl>
    <w:lvl w:ilvl="3" w:tentative="0">
      <w:start w:val="0"/>
      <w:numFmt w:val="bullet"/>
      <w:lvlText w:val="•"/>
      <w:lvlJc w:val="left"/>
      <w:pPr>
        <w:ind w:left="3750" w:hanging="333"/>
      </w:pPr>
      <w:rPr>
        <w:rFonts w:hint="default"/>
      </w:rPr>
    </w:lvl>
    <w:lvl w:ilvl="4" w:tentative="0">
      <w:start w:val="0"/>
      <w:numFmt w:val="bullet"/>
      <w:lvlText w:val="•"/>
      <w:lvlJc w:val="left"/>
      <w:pPr>
        <w:ind w:left="4706" w:hanging="333"/>
      </w:pPr>
      <w:rPr>
        <w:rFonts w:hint="default"/>
      </w:rPr>
    </w:lvl>
    <w:lvl w:ilvl="5" w:tentative="0">
      <w:start w:val="0"/>
      <w:numFmt w:val="bullet"/>
      <w:lvlText w:val="•"/>
      <w:lvlJc w:val="left"/>
      <w:pPr>
        <w:ind w:left="5663" w:hanging="333"/>
      </w:pPr>
      <w:rPr>
        <w:rFonts w:hint="default"/>
      </w:rPr>
    </w:lvl>
    <w:lvl w:ilvl="6" w:tentative="0">
      <w:start w:val="0"/>
      <w:numFmt w:val="bullet"/>
      <w:lvlText w:val="•"/>
      <w:lvlJc w:val="left"/>
      <w:pPr>
        <w:ind w:left="6620" w:hanging="333"/>
      </w:pPr>
      <w:rPr>
        <w:rFonts w:hint="default"/>
      </w:rPr>
    </w:lvl>
    <w:lvl w:ilvl="7" w:tentative="0">
      <w:start w:val="0"/>
      <w:numFmt w:val="bullet"/>
      <w:lvlText w:val="•"/>
      <w:lvlJc w:val="left"/>
      <w:pPr>
        <w:ind w:left="7576" w:hanging="333"/>
      </w:pPr>
      <w:rPr>
        <w:rFonts w:hint="default"/>
      </w:rPr>
    </w:lvl>
    <w:lvl w:ilvl="8" w:tentative="0">
      <w:start w:val="0"/>
      <w:numFmt w:val="bullet"/>
      <w:lvlText w:val="•"/>
      <w:lvlJc w:val="left"/>
      <w:pPr>
        <w:ind w:left="8533" w:hanging="333"/>
      </w:pPr>
      <w:rPr>
        <w:rFonts w:hint="default"/>
      </w:rPr>
    </w:lvl>
  </w:abstractNum>
  <w:abstractNum w:abstractNumId="9">
    <w:nsid w:val="0C0E1E13"/>
    <w:multiLevelType w:val="multilevel"/>
    <w:tmpl w:val="0C0E1E13"/>
    <w:lvl w:ilvl="0" w:tentative="0">
      <w:start w:val="12"/>
      <w:numFmt w:val="decimal"/>
      <w:lvlText w:val="%1"/>
      <w:lvlJc w:val="left"/>
      <w:pPr>
        <w:ind w:left="1069" w:hanging="526"/>
        <w:jc w:val="left"/>
      </w:pPr>
      <w:rPr>
        <w:rFonts w:hint="default"/>
      </w:rPr>
    </w:lvl>
    <w:lvl w:ilvl="1" w:tentative="0">
      <w:start w:val="1"/>
      <w:numFmt w:val="decimal"/>
      <w:lvlText w:val="%1.%2"/>
      <w:lvlJc w:val="left"/>
      <w:pPr>
        <w:ind w:left="1069" w:hanging="526"/>
        <w:jc w:val="left"/>
      </w:pPr>
      <w:rPr>
        <w:rFonts w:hint="default" w:ascii="微软雅黑" w:hAnsi="微软雅黑" w:eastAsia="微软雅黑" w:cs="微软雅黑"/>
        <w:spacing w:val="-1"/>
        <w:w w:val="99"/>
        <w:sz w:val="21"/>
        <w:szCs w:val="21"/>
      </w:rPr>
    </w:lvl>
    <w:lvl w:ilvl="2" w:tentative="0">
      <w:start w:val="0"/>
      <w:numFmt w:val="bullet"/>
      <w:lvlText w:val="•"/>
      <w:lvlJc w:val="left"/>
      <w:pPr>
        <w:ind w:left="2937" w:hanging="526"/>
      </w:pPr>
      <w:rPr>
        <w:rFonts w:hint="default"/>
      </w:rPr>
    </w:lvl>
    <w:lvl w:ilvl="3" w:tentative="0">
      <w:start w:val="0"/>
      <w:numFmt w:val="bullet"/>
      <w:lvlText w:val="•"/>
      <w:lvlJc w:val="left"/>
      <w:pPr>
        <w:ind w:left="3876" w:hanging="526"/>
      </w:pPr>
      <w:rPr>
        <w:rFonts w:hint="default"/>
      </w:rPr>
    </w:lvl>
    <w:lvl w:ilvl="4" w:tentative="0">
      <w:start w:val="0"/>
      <w:numFmt w:val="bullet"/>
      <w:lvlText w:val="•"/>
      <w:lvlJc w:val="left"/>
      <w:pPr>
        <w:ind w:left="4814" w:hanging="526"/>
      </w:pPr>
      <w:rPr>
        <w:rFonts w:hint="default"/>
      </w:rPr>
    </w:lvl>
    <w:lvl w:ilvl="5" w:tentative="0">
      <w:start w:val="0"/>
      <w:numFmt w:val="bullet"/>
      <w:lvlText w:val="•"/>
      <w:lvlJc w:val="left"/>
      <w:pPr>
        <w:ind w:left="5753" w:hanging="526"/>
      </w:pPr>
      <w:rPr>
        <w:rFonts w:hint="default"/>
      </w:rPr>
    </w:lvl>
    <w:lvl w:ilvl="6" w:tentative="0">
      <w:start w:val="0"/>
      <w:numFmt w:val="bullet"/>
      <w:lvlText w:val="•"/>
      <w:lvlJc w:val="left"/>
      <w:pPr>
        <w:ind w:left="6692" w:hanging="526"/>
      </w:pPr>
      <w:rPr>
        <w:rFonts w:hint="default"/>
      </w:rPr>
    </w:lvl>
    <w:lvl w:ilvl="7" w:tentative="0">
      <w:start w:val="0"/>
      <w:numFmt w:val="bullet"/>
      <w:lvlText w:val="•"/>
      <w:lvlJc w:val="left"/>
      <w:pPr>
        <w:ind w:left="7630" w:hanging="526"/>
      </w:pPr>
      <w:rPr>
        <w:rFonts w:hint="default"/>
      </w:rPr>
    </w:lvl>
    <w:lvl w:ilvl="8" w:tentative="0">
      <w:start w:val="0"/>
      <w:numFmt w:val="bullet"/>
      <w:lvlText w:val="•"/>
      <w:lvlJc w:val="left"/>
      <w:pPr>
        <w:ind w:left="8569" w:hanging="526"/>
      </w:pPr>
      <w:rPr>
        <w:rFonts w:hint="default"/>
      </w:rPr>
    </w:lvl>
  </w:abstractNum>
  <w:abstractNum w:abstractNumId="10">
    <w:nsid w:val="0DC629B0"/>
    <w:multiLevelType w:val="multilevel"/>
    <w:tmpl w:val="0DC629B0"/>
    <w:lvl w:ilvl="0" w:tentative="0">
      <w:start w:val="1"/>
      <w:numFmt w:val="decimal"/>
      <w:lvlText w:val="%1)"/>
      <w:lvlJc w:val="left"/>
      <w:pPr>
        <w:ind w:left="107" w:hanging="404"/>
        <w:jc w:val="left"/>
      </w:pPr>
      <w:rPr>
        <w:rFonts w:hint="default"/>
        <w:spacing w:val="-1"/>
        <w:w w:val="99"/>
      </w:rPr>
    </w:lvl>
    <w:lvl w:ilvl="1" w:tentative="0">
      <w:start w:val="0"/>
      <w:numFmt w:val="bullet"/>
      <w:lvlText w:val="•"/>
      <w:lvlJc w:val="left"/>
      <w:pPr>
        <w:ind w:left="1134" w:hanging="404"/>
      </w:pPr>
      <w:rPr>
        <w:rFonts w:hint="default"/>
      </w:rPr>
    </w:lvl>
    <w:lvl w:ilvl="2" w:tentative="0">
      <w:start w:val="0"/>
      <w:numFmt w:val="bullet"/>
      <w:lvlText w:val="•"/>
      <w:lvlJc w:val="left"/>
      <w:pPr>
        <w:ind w:left="2169" w:hanging="404"/>
      </w:pPr>
      <w:rPr>
        <w:rFonts w:hint="default"/>
      </w:rPr>
    </w:lvl>
    <w:lvl w:ilvl="3" w:tentative="0">
      <w:start w:val="0"/>
      <w:numFmt w:val="bullet"/>
      <w:lvlText w:val="•"/>
      <w:lvlJc w:val="left"/>
      <w:pPr>
        <w:ind w:left="3204" w:hanging="404"/>
      </w:pPr>
      <w:rPr>
        <w:rFonts w:hint="default"/>
      </w:rPr>
    </w:lvl>
    <w:lvl w:ilvl="4" w:tentative="0">
      <w:start w:val="0"/>
      <w:numFmt w:val="bullet"/>
      <w:lvlText w:val="•"/>
      <w:lvlJc w:val="left"/>
      <w:pPr>
        <w:ind w:left="4238" w:hanging="404"/>
      </w:pPr>
      <w:rPr>
        <w:rFonts w:hint="default"/>
      </w:rPr>
    </w:lvl>
    <w:lvl w:ilvl="5" w:tentative="0">
      <w:start w:val="0"/>
      <w:numFmt w:val="bullet"/>
      <w:lvlText w:val="•"/>
      <w:lvlJc w:val="left"/>
      <w:pPr>
        <w:ind w:left="5273" w:hanging="404"/>
      </w:pPr>
      <w:rPr>
        <w:rFonts w:hint="default"/>
      </w:rPr>
    </w:lvl>
    <w:lvl w:ilvl="6" w:tentative="0">
      <w:start w:val="0"/>
      <w:numFmt w:val="bullet"/>
      <w:lvlText w:val="•"/>
      <w:lvlJc w:val="left"/>
      <w:pPr>
        <w:ind w:left="6308" w:hanging="404"/>
      </w:pPr>
      <w:rPr>
        <w:rFonts w:hint="default"/>
      </w:rPr>
    </w:lvl>
    <w:lvl w:ilvl="7" w:tentative="0">
      <w:start w:val="0"/>
      <w:numFmt w:val="bullet"/>
      <w:lvlText w:val="•"/>
      <w:lvlJc w:val="left"/>
      <w:pPr>
        <w:ind w:left="7342" w:hanging="404"/>
      </w:pPr>
      <w:rPr>
        <w:rFonts w:hint="default"/>
      </w:rPr>
    </w:lvl>
    <w:lvl w:ilvl="8" w:tentative="0">
      <w:start w:val="0"/>
      <w:numFmt w:val="bullet"/>
      <w:lvlText w:val="•"/>
      <w:lvlJc w:val="left"/>
      <w:pPr>
        <w:ind w:left="8377" w:hanging="404"/>
      </w:pPr>
      <w:rPr>
        <w:rFonts w:hint="default"/>
      </w:rPr>
    </w:lvl>
  </w:abstractNum>
  <w:abstractNum w:abstractNumId="11">
    <w:nsid w:val="10F0DB0B"/>
    <w:multiLevelType w:val="multilevel"/>
    <w:tmpl w:val="10F0DB0B"/>
    <w:lvl w:ilvl="0" w:tentative="0">
      <w:start w:val="6"/>
      <w:numFmt w:val="decimal"/>
      <w:lvlText w:val="%1"/>
      <w:lvlJc w:val="left"/>
      <w:pPr>
        <w:ind w:left="944" w:hanging="401"/>
        <w:jc w:val="left"/>
      </w:pPr>
      <w:rPr>
        <w:rFonts w:hint="default"/>
      </w:rPr>
    </w:lvl>
    <w:lvl w:ilvl="1" w:tentative="0">
      <w:start w:val="2"/>
      <w:numFmt w:val="decimal"/>
      <w:lvlText w:val="%1.%2"/>
      <w:lvlJc w:val="left"/>
      <w:pPr>
        <w:ind w:left="944" w:hanging="401"/>
        <w:jc w:val="left"/>
      </w:pPr>
      <w:rPr>
        <w:rFonts w:hint="default" w:ascii="微软雅黑" w:hAnsi="微软雅黑" w:eastAsia="微软雅黑" w:cs="微软雅黑"/>
        <w:spacing w:val="-1"/>
        <w:w w:val="99"/>
        <w:sz w:val="21"/>
        <w:szCs w:val="21"/>
      </w:rPr>
    </w:lvl>
    <w:lvl w:ilvl="2" w:tentative="0">
      <w:start w:val="1"/>
      <w:numFmt w:val="decimal"/>
      <w:lvlText w:val="%1.%2.%3"/>
      <w:lvlJc w:val="left"/>
      <w:pPr>
        <w:ind w:left="1120" w:hanging="576"/>
        <w:jc w:val="left"/>
      </w:pPr>
      <w:rPr>
        <w:rFonts w:hint="default" w:ascii="微软雅黑" w:hAnsi="微软雅黑" w:eastAsia="微软雅黑" w:cs="微软雅黑"/>
        <w:spacing w:val="-1"/>
        <w:w w:val="99"/>
        <w:sz w:val="21"/>
        <w:szCs w:val="21"/>
      </w:rPr>
    </w:lvl>
    <w:lvl w:ilvl="3" w:tentative="0">
      <w:start w:val="0"/>
      <w:numFmt w:val="bullet"/>
      <w:lvlText w:val="•"/>
      <w:lvlJc w:val="left"/>
      <w:pPr>
        <w:ind w:left="3192" w:hanging="576"/>
      </w:pPr>
      <w:rPr>
        <w:rFonts w:hint="default"/>
      </w:rPr>
    </w:lvl>
    <w:lvl w:ilvl="4" w:tentative="0">
      <w:start w:val="0"/>
      <w:numFmt w:val="bullet"/>
      <w:lvlText w:val="•"/>
      <w:lvlJc w:val="left"/>
      <w:pPr>
        <w:ind w:left="4229" w:hanging="576"/>
      </w:pPr>
      <w:rPr>
        <w:rFonts w:hint="default"/>
      </w:rPr>
    </w:lvl>
    <w:lvl w:ilvl="5" w:tentative="0">
      <w:start w:val="0"/>
      <w:numFmt w:val="bullet"/>
      <w:lvlText w:val="•"/>
      <w:lvlJc w:val="left"/>
      <w:pPr>
        <w:ind w:left="5265" w:hanging="576"/>
      </w:pPr>
      <w:rPr>
        <w:rFonts w:hint="default"/>
      </w:rPr>
    </w:lvl>
    <w:lvl w:ilvl="6" w:tentative="0">
      <w:start w:val="0"/>
      <w:numFmt w:val="bullet"/>
      <w:lvlText w:val="•"/>
      <w:lvlJc w:val="left"/>
      <w:pPr>
        <w:ind w:left="6301" w:hanging="576"/>
      </w:pPr>
      <w:rPr>
        <w:rFonts w:hint="default"/>
      </w:rPr>
    </w:lvl>
    <w:lvl w:ilvl="7" w:tentative="0">
      <w:start w:val="0"/>
      <w:numFmt w:val="bullet"/>
      <w:lvlText w:val="•"/>
      <w:lvlJc w:val="left"/>
      <w:pPr>
        <w:ind w:left="7338" w:hanging="576"/>
      </w:pPr>
      <w:rPr>
        <w:rFonts w:hint="default"/>
      </w:rPr>
    </w:lvl>
    <w:lvl w:ilvl="8" w:tentative="0">
      <w:start w:val="0"/>
      <w:numFmt w:val="bullet"/>
      <w:lvlText w:val="•"/>
      <w:lvlJc w:val="left"/>
      <w:pPr>
        <w:ind w:left="8374" w:hanging="576"/>
      </w:pPr>
      <w:rPr>
        <w:rFonts w:hint="default"/>
      </w:rPr>
    </w:lvl>
  </w:abstractNum>
  <w:abstractNum w:abstractNumId="12">
    <w:nsid w:val="2007DCFD"/>
    <w:multiLevelType w:val="multilevel"/>
    <w:tmpl w:val="2007DCFD"/>
    <w:lvl w:ilvl="0" w:tentative="0">
      <w:start w:val="2"/>
      <w:numFmt w:val="decimal"/>
      <w:lvlText w:val="%1"/>
      <w:lvlJc w:val="left"/>
      <w:pPr>
        <w:ind w:left="107" w:hanging="401"/>
        <w:jc w:val="left"/>
      </w:pPr>
      <w:rPr>
        <w:rFonts w:hint="default"/>
      </w:rPr>
    </w:lvl>
    <w:lvl w:ilvl="1" w:tentative="0">
      <w:start w:val="1"/>
      <w:numFmt w:val="decimal"/>
      <w:lvlText w:val="%1.%2"/>
      <w:lvlJc w:val="left"/>
      <w:pPr>
        <w:ind w:left="107" w:hanging="401"/>
        <w:jc w:val="left"/>
      </w:pPr>
      <w:rPr>
        <w:rFonts w:hint="default" w:ascii="微软雅黑" w:hAnsi="微软雅黑" w:eastAsia="微软雅黑" w:cs="微软雅黑"/>
        <w:spacing w:val="-1"/>
        <w:w w:val="99"/>
        <w:sz w:val="21"/>
        <w:szCs w:val="21"/>
      </w:rPr>
    </w:lvl>
    <w:lvl w:ilvl="2" w:tentative="0">
      <w:start w:val="0"/>
      <w:numFmt w:val="bullet"/>
      <w:lvlText w:val="•"/>
      <w:lvlJc w:val="left"/>
      <w:pPr>
        <w:ind w:left="2169" w:hanging="401"/>
      </w:pPr>
      <w:rPr>
        <w:rFonts w:hint="default"/>
      </w:rPr>
    </w:lvl>
    <w:lvl w:ilvl="3" w:tentative="0">
      <w:start w:val="0"/>
      <w:numFmt w:val="bullet"/>
      <w:lvlText w:val="•"/>
      <w:lvlJc w:val="left"/>
      <w:pPr>
        <w:ind w:left="3204" w:hanging="401"/>
      </w:pPr>
      <w:rPr>
        <w:rFonts w:hint="default"/>
      </w:rPr>
    </w:lvl>
    <w:lvl w:ilvl="4" w:tentative="0">
      <w:start w:val="0"/>
      <w:numFmt w:val="bullet"/>
      <w:lvlText w:val="•"/>
      <w:lvlJc w:val="left"/>
      <w:pPr>
        <w:ind w:left="4238" w:hanging="401"/>
      </w:pPr>
      <w:rPr>
        <w:rFonts w:hint="default"/>
      </w:rPr>
    </w:lvl>
    <w:lvl w:ilvl="5" w:tentative="0">
      <w:start w:val="0"/>
      <w:numFmt w:val="bullet"/>
      <w:lvlText w:val="•"/>
      <w:lvlJc w:val="left"/>
      <w:pPr>
        <w:ind w:left="5273" w:hanging="401"/>
      </w:pPr>
      <w:rPr>
        <w:rFonts w:hint="default"/>
      </w:rPr>
    </w:lvl>
    <w:lvl w:ilvl="6" w:tentative="0">
      <w:start w:val="0"/>
      <w:numFmt w:val="bullet"/>
      <w:lvlText w:val="•"/>
      <w:lvlJc w:val="left"/>
      <w:pPr>
        <w:ind w:left="6308" w:hanging="401"/>
      </w:pPr>
      <w:rPr>
        <w:rFonts w:hint="default"/>
      </w:rPr>
    </w:lvl>
    <w:lvl w:ilvl="7" w:tentative="0">
      <w:start w:val="0"/>
      <w:numFmt w:val="bullet"/>
      <w:lvlText w:val="•"/>
      <w:lvlJc w:val="left"/>
      <w:pPr>
        <w:ind w:left="7342" w:hanging="401"/>
      </w:pPr>
      <w:rPr>
        <w:rFonts w:hint="default"/>
      </w:rPr>
    </w:lvl>
    <w:lvl w:ilvl="8" w:tentative="0">
      <w:start w:val="0"/>
      <w:numFmt w:val="bullet"/>
      <w:lvlText w:val="•"/>
      <w:lvlJc w:val="left"/>
      <w:pPr>
        <w:ind w:left="8377" w:hanging="401"/>
      </w:pPr>
      <w:rPr>
        <w:rFonts w:hint="default"/>
      </w:rPr>
    </w:lvl>
  </w:abstractNum>
  <w:abstractNum w:abstractNumId="13">
    <w:nsid w:val="227C9188"/>
    <w:multiLevelType w:val="multilevel"/>
    <w:tmpl w:val="227C9188"/>
    <w:lvl w:ilvl="0" w:tentative="0">
      <w:start w:val="1"/>
      <w:numFmt w:val="decimal"/>
      <w:lvlText w:val="%1)"/>
      <w:lvlJc w:val="left"/>
      <w:pPr>
        <w:ind w:left="107" w:hanging="404"/>
        <w:jc w:val="left"/>
      </w:pPr>
      <w:rPr>
        <w:rFonts w:hint="default" w:ascii="微软雅黑" w:hAnsi="微软雅黑" w:eastAsia="微软雅黑" w:cs="微软雅黑"/>
        <w:spacing w:val="-1"/>
        <w:w w:val="99"/>
        <w:sz w:val="21"/>
        <w:szCs w:val="21"/>
      </w:rPr>
    </w:lvl>
    <w:lvl w:ilvl="1" w:tentative="0">
      <w:start w:val="0"/>
      <w:numFmt w:val="bullet"/>
      <w:lvlText w:val="•"/>
      <w:lvlJc w:val="left"/>
      <w:pPr>
        <w:ind w:left="1134" w:hanging="404"/>
      </w:pPr>
      <w:rPr>
        <w:rFonts w:hint="default"/>
      </w:rPr>
    </w:lvl>
    <w:lvl w:ilvl="2" w:tentative="0">
      <w:start w:val="0"/>
      <w:numFmt w:val="bullet"/>
      <w:lvlText w:val="•"/>
      <w:lvlJc w:val="left"/>
      <w:pPr>
        <w:ind w:left="2169" w:hanging="404"/>
      </w:pPr>
      <w:rPr>
        <w:rFonts w:hint="default"/>
      </w:rPr>
    </w:lvl>
    <w:lvl w:ilvl="3" w:tentative="0">
      <w:start w:val="0"/>
      <w:numFmt w:val="bullet"/>
      <w:lvlText w:val="•"/>
      <w:lvlJc w:val="left"/>
      <w:pPr>
        <w:ind w:left="3204" w:hanging="404"/>
      </w:pPr>
      <w:rPr>
        <w:rFonts w:hint="default"/>
      </w:rPr>
    </w:lvl>
    <w:lvl w:ilvl="4" w:tentative="0">
      <w:start w:val="0"/>
      <w:numFmt w:val="bullet"/>
      <w:lvlText w:val="•"/>
      <w:lvlJc w:val="left"/>
      <w:pPr>
        <w:ind w:left="4238" w:hanging="404"/>
      </w:pPr>
      <w:rPr>
        <w:rFonts w:hint="default"/>
      </w:rPr>
    </w:lvl>
    <w:lvl w:ilvl="5" w:tentative="0">
      <w:start w:val="0"/>
      <w:numFmt w:val="bullet"/>
      <w:lvlText w:val="•"/>
      <w:lvlJc w:val="left"/>
      <w:pPr>
        <w:ind w:left="5273" w:hanging="404"/>
      </w:pPr>
      <w:rPr>
        <w:rFonts w:hint="default"/>
      </w:rPr>
    </w:lvl>
    <w:lvl w:ilvl="6" w:tentative="0">
      <w:start w:val="0"/>
      <w:numFmt w:val="bullet"/>
      <w:lvlText w:val="•"/>
      <w:lvlJc w:val="left"/>
      <w:pPr>
        <w:ind w:left="6308" w:hanging="404"/>
      </w:pPr>
      <w:rPr>
        <w:rFonts w:hint="default"/>
      </w:rPr>
    </w:lvl>
    <w:lvl w:ilvl="7" w:tentative="0">
      <w:start w:val="0"/>
      <w:numFmt w:val="bullet"/>
      <w:lvlText w:val="•"/>
      <w:lvlJc w:val="left"/>
      <w:pPr>
        <w:ind w:left="7342" w:hanging="404"/>
      </w:pPr>
      <w:rPr>
        <w:rFonts w:hint="default"/>
      </w:rPr>
    </w:lvl>
    <w:lvl w:ilvl="8" w:tentative="0">
      <w:start w:val="0"/>
      <w:numFmt w:val="bullet"/>
      <w:lvlText w:val="•"/>
      <w:lvlJc w:val="left"/>
      <w:pPr>
        <w:ind w:left="8377" w:hanging="404"/>
      </w:pPr>
      <w:rPr>
        <w:rFonts w:hint="default"/>
      </w:rPr>
    </w:lvl>
  </w:abstractNum>
  <w:abstractNum w:abstractNumId="14">
    <w:nsid w:val="251342A6"/>
    <w:multiLevelType w:val="multilevel"/>
    <w:tmpl w:val="251342A6"/>
    <w:lvl w:ilvl="0" w:tentative="0">
      <w:start w:val="1"/>
      <w:numFmt w:val="decimal"/>
      <w:lvlText w:val="%1)"/>
      <w:lvlJc w:val="left"/>
      <w:pPr>
        <w:ind w:left="947" w:hanging="404"/>
        <w:jc w:val="left"/>
      </w:pPr>
      <w:rPr>
        <w:rFonts w:hint="default" w:ascii="微软雅黑" w:hAnsi="微软雅黑" w:eastAsia="微软雅黑" w:cs="微软雅黑"/>
        <w:spacing w:val="-1"/>
        <w:w w:val="99"/>
        <w:sz w:val="21"/>
        <w:szCs w:val="21"/>
      </w:rPr>
    </w:lvl>
    <w:lvl w:ilvl="1" w:tentative="0">
      <w:start w:val="0"/>
      <w:numFmt w:val="bullet"/>
      <w:lvlText w:val="•"/>
      <w:lvlJc w:val="left"/>
      <w:pPr>
        <w:ind w:left="1890" w:hanging="404"/>
      </w:pPr>
      <w:rPr>
        <w:rFonts w:hint="default"/>
      </w:rPr>
    </w:lvl>
    <w:lvl w:ilvl="2" w:tentative="0">
      <w:start w:val="0"/>
      <w:numFmt w:val="bullet"/>
      <w:lvlText w:val="•"/>
      <w:lvlJc w:val="left"/>
      <w:pPr>
        <w:ind w:left="2841" w:hanging="404"/>
      </w:pPr>
      <w:rPr>
        <w:rFonts w:hint="default"/>
      </w:rPr>
    </w:lvl>
    <w:lvl w:ilvl="3" w:tentative="0">
      <w:start w:val="0"/>
      <w:numFmt w:val="bullet"/>
      <w:lvlText w:val="•"/>
      <w:lvlJc w:val="left"/>
      <w:pPr>
        <w:ind w:left="3792" w:hanging="404"/>
      </w:pPr>
      <w:rPr>
        <w:rFonts w:hint="default"/>
      </w:rPr>
    </w:lvl>
    <w:lvl w:ilvl="4" w:tentative="0">
      <w:start w:val="0"/>
      <w:numFmt w:val="bullet"/>
      <w:lvlText w:val="•"/>
      <w:lvlJc w:val="left"/>
      <w:pPr>
        <w:ind w:left="4742" w:hanging="404"/>
      </w:pPr>
      <w:rPr>
        <w:rFonts w:hint="default"/>
      </w:rPr>
    </w:lvl>
    <w:lvl w:ilvl="5" w:tentative="0">
      <w:start w:val="0"/>
      <w:numFmt w:val="bullet"/>
      <w:lvlText w:val="•"/>
      <w:lvlJc w:val="left"/>
      <w:pPr>
        <w:ind w:left="5693" w:hanging="404"/>
      </w:pPr>
      <w:rPr>
        <w:rFonts w:hint="default"/>
      </w:rPr>
    </w:lvl>
    <w:lvl w:ilvl="6" w:tentative="0">
      <w:start w:val="0"/>
      <w:numFmt w:val="bullet"/>
      <w:lvlText w:val="•"/>
      <w:lvlJc w:val="left"/>
      <w:pPr>
        <w:ind w:left="6644" w:hanging="404"/>
      </w:pPr>
      <w:rPr>
        <w:rFonts w:hint="default"/>
      </w:rPr>
    </w:lvl>
    <w:lvl w:ilvl="7" w:tentative="0">
      <w:start w:val="0"/>
      <w:numFmt w:val="bullet"/>
      <w:lvlText w:val="•"/>
      <w:lvlJc w:val="left"/>
      <w:pPr>
        <w:ind w:left="7594" w:hanging="404"/>
      </w:pPr>
      <w:rPr>
        <w:rFonts w:hint="default"/>
      </w:rPr>
    </w:lvl>
    <w:lvl w:ilvl="8" w:tentative="0">
      <w:start w:val="0"/>
      <w:numFmt w:val="bullet"/>
      <w:lvlText w:val="•"/>
      <w:lvlJc w:val="left"/>
      <w:pPr>
        <w:ind w:left="8545" w:hanging="404"/>
      </w:pPr>
      <w:rPr>
        <w:rFonts w:hint="default"/>
      </w:rPr>
    </w:lvl>
  </w:abstractNum>
  <w:abstractNum w:abstractNumId="15">
    <w:nsid w:val="2B3F3F89"/>
    <w:multiLevelType w:val="multilevel"/>
    <w:tmpl w:val="2B3F3F89"/>
    <w:lvl w:ilvl="0" w:tentative="0">
      <w:start w:val="3"/>
      <w:numFmt w:val="decimal"/>
      <w:lvlText w:val="%1"/>
      <w:lvlJc w:val="left"/>
      <w:pPr>
        <w:ind w:left="892" w:hanging="348"/>
        <w:jc w:val="left"/>
      </w:pPr>
      <w:rPr>
        <w:rFonts w:hint="default"/>
      </w:rPr>
    </w:lvl>
    <w:lvl w:ilvl="1" w:tentative="0">
      <w:start w:val="1"/>
      <w:numFmt w:val="decimal"/>
      <w:lvlText w:val="%1.%2"/>
      <w:lvlJc w:val="left"/>
      <w:pPr>
        <w:ind w:left="892" w:hanging="348"/>
        <w:jc w:val="left"/>
      </w:pPr>
      <w:rPr>
        <w:rFonts w:hint="default" w:ascii="微软雅黑" w:hAnsi="微软雅黑" w:eastAsia="微软雅黑" w:cs="微软雅黑"/>
        <w:spacing w:val="-1"/>
        <w:w w:val="99"/>
        <w:sz w:val="21"/>
        <w:szCs w:val="21"/>
      </w:rPr>
    </w:lvl>
    <w:lvl w:ilvl="2" w:tentative="0">
      <w:start w:val="1"/>
      <w:numFmt w:val="decimal"/>
      <w:lvlText w:val="%1.%2.%3"/>
      <w:lvlJc w:val="left"/>
      <w:pPr>
        <w:ind w:left="1067" w:hanging="524"/>
        <w:jc w:val="left"/>
      </w:pPr>
      <w:rPr>
        <w:rFonts w:hint="default" w:ascii="微软雅黑" w:hAnsi="微软雅黑" w:eastAsia="微软雅黑" w:cs="微软雅黑"/>
        <w:spacing w:val="-1"/>
        <w:w w:val="99"/>
        <w:sz w:val="21"/>
        <w:szCs w:val="21"/>
      </w:rPr>
    </w:lvl>
    <w:lvl w:ilvl="3" w:tentative="0">
      <w:start w:val="0"/>
      <w:numFmt w:val="bullet"/>
      <w:lvlText w:val="•"/>
      <w:lvlJc w:val="left"/>
      <w:pPr>
        <w:ind w:left="3146" w:hanging="524"/>
      </w:pPr>
      <w:rPr>
        <w:rFonts w:hint="default"/>
      </w:rPr>
    </w:lvl>
    <w:lvl w:ilvl="4" w:tentative="0">
      <w:start w:val="0"/>
      <w:numFmt w:val="bullet"/>
      <w:lvlText w:val="•"/>
      <w:lvlJc w:val="left"/>
      <w:pPr>
        <w:ind w:left="4189" w:hanging="524"/>
      </w:pPr>
      <w:rPr>
        <w:rFonts w:hint="default"/>
      </w:rPr>
    </w:lvl>
    <w:lvl w:ilvl="5" w:tentative="0">
      <w:start w:val="0"/>
      <w:numFmt w:val="bullet"/>
      <w:lvlText w:val="•"/>
      <w:lvlJc w:val="left"/>
      <w:pPr>
        <w:ind w:left="5232" w:hanging="524"/>
      </w:pPr>
      <w:rPr>
        <w:rFonts w:hint="default"/>
      </w:rPr>
    </w:lvl>
    <w:lvl w:ilvl="6" w:tentative="0">
      <w:start w:val="0"/>
      <w:numFmt w:val="bullet"/>
      <w:lvlText w:val="•"/>
      <w:lvlJc w:val="left"/>
      <w:pPr>
        <w:ind w:left="6275" w:hanging="524"/>
      </w:pPr>
      <w:rPr>
        <w:rFonts w:hint="default"/>
      </w:rPr>
    </w:lvl>
    <w:lvl w:ilvl="7" w:tentative="0">
      <w:start w:val="0"/>
      <w:numFmt w:val="bullet"/>
      <w:lvlText w:val="•"/>
      <w:lvlJc w:val="left"/>
      <w:pPr>
        <w:ind w:left="7318" w:hanging="524"/>
      </w:pPr>
      <w:rPr>
        <w:rFonts w:hint="default"/>
      </w:rPr>
    </w:lvl>
    <w:lvl w:ilvl="8" w:tentative="0">
      <w:start w:val="0"/>
      <w:numFmt w:val="bullet"/>
      <w:lvlText w:val="•"/>
      <w:lvlJc w:val="left"/>
      <w:pPr>
        <w:ind w:left="8361" w:hanging="524"/>
      </w:pPr>
      <w:rPr>
        <w:rFonts w:hint="default"/>
      </w:rPr>
    </w:lvl>
  </w:abstractNum>
  <w:abstractNum w:abstractNumId="16">
    <w:nsid w:val="3A7FBA26"/>
    <w:multiLevelType w:val="multilevel"/>
    <w:tmpl w:val="3A7FBA26"/>
    <w:lvl w:ilvl="0" w:tentative="0">
      <w:start w:val="1"/>
      <w:numFmt w:val="decimal"/>
      <w:lvlText w:val="%1)"/>
      <w:lvlJc w:val="left"/>
      <w:pPr>
        <w:ind w:left="107" w:hanging="404"/>
        <w:jc w:val="left"/>
      </w:pPr>
      <w:rPr>
        <w:rFonts w:hint="default" w:ascii="微软雅黑" w:hAnsi="微软雅黑" w:eastAsia="微软雅黑" w:cs="微软雅黑"/>
        <w:spacing w:val="-1"/>
        <w:w w:val="99"/>
        <w:sz w:val="21"/>
        <w:szCs w:val="21"/>
      </w:rPr>
    </w:lvl>
    <w:lvl w:ilvl="1" w:tentative="0">
      <w:start w:val="0"/>
      <w:numFmt w:val="bullet"/>
      <w:lvlText w:val="•"/>
      <w:lvlJc w:val="left"/>
      <w:pPr>
        <w:ind w:left="1134" w:hanging="404"/>
      </w:pPr>
      <w:rPr>
        <w:rFonts w:hint="default"/>
      </w:rPr>
    </w:lvl>
    <w:lvl w:ilvl="2" w:tentative="0">
      <w:start w:val="0"/>
      <w:numFmt w:val="bullet"/>
      <w:lvlText w:val="•"/>
      <w:lvlJc w:val="left"/>
      <w:pPr>
        <w:ind w:left="2169" w:hanging="404"/>
      </w:pPr>
      <w:rPr>
        <w:rFonts w:hint="default"/>
      </w:rPr>
    </w:lvl>
    <w:lvl w:ilvl="3" w:tentative="0">
      <w:start w:val="0"/>
      <w:numFmt w:val="bullet"/>
      <w:lvlText w:val="•"/>
      <w:lvlJc w:val="left"/>
      <w:pPr>
        <w:ind w:left="3204" w:hanging="404"/>
      </w:pPr>
      <w:rPr>
        <w:rFonts w:hint="default"/>
      </w:rPr>
    </w:lvl>
    <w:lvl w:ilvl="4" w:tentative="0">
      <w:start w:val="0"/>
      <w:numFmt w:val="bullet"/>
      <w:lvlText w:val="•"/>
      <w:lvlJc w:val="left"/>
      <w:pPr>
        <w:ind w:left="4238" w:hanging="404"/>
      </w:pPr>
      <w:rPr>
        <w:rFonts w:hint="default"/>
      </w:rPr>
    </w:lvl>
    <w:lvl w:ilvl="5" w:tentative="0">
      <w:start w:val="0"/>
      <w:numFmt w:val="bullet"/>
      <w:lvlText w:val="•"/>
      <w:lvlJc w:val="left"/>
      <w:pPr>
        <w:ind w:left="5273" w:hanging="404"/>
      </w:pPr>
      <w:rPr>
        <w:rFonts w:hint="default"/>
      </w:rPr>
    </w:lvl>
    <w:lvl w:ilvl="6" w:tentative="0">
      <w:start w:val="0"/>
      <w:numFmt w:val="bullet"/>
      <w:lvlText w:val="•"/>
      <w:lvlJc w:val="left"/>
      <w:pPr>
        <w:ind w:left="6308" w:hanging="404"/>
      </w:pPr>
      <w:rPr>
        <w:rFonts w:hint="default"/>
      </w:rPr>
    </w:lvl>
    <w:lvl w:ilvl="7" w:tentative="0">
      <w:start w:val="0"/>
      <w:numFmt w:val="bullet"/>
      <w:lvlText w:val="•"/>
      <w:lvlJc w:val="left"/>
      <w:pPr>
        <w:ind w:left="7342" w:hanging="404"/>
      </w:pPr>
      <w:rPr>
        <w:rFonts w:hint="default"/>
      </w:rPr>
    </w:lvl>
    <w:lvl w:ilvl="8" w:tentative="0">
      <w:start w:val="0"/>
      <w:numFmt w:val="bullet"/>
      <w:lvlText w:val="•"/>
      <w:lvlJc w:val="left"/>
      <w:pPr>
        <w:ind w:left="8377" w:hanging="404"/>
      </w:pPr>
      <w:rPr>
        <w:rFonts w:hint="default"/>
      </w:rPr>
    </w:lvl>
  </w:abstractNum>
  <w:abstractNum w:abstractNumId="17">
    <w:nsid w:val="3FE315B6"/>
    <w:multiLevelType w:val="multilevel"/>
    <w:tmpl w:val="3FE315B6"/>
    <w:lvl w:ilvl="0" w:tentative="0">
      <w:start w:val="9"/>
      <w:numFmt w:val="decimal"/>
      <w:lvlText w:val="%1"/>
      <w:lvlJc w:val="left"/>
      <w:pPr>
        <w:ind w:left="944" w:hanging="401"/>
        <w:jc w:val="left"/>
      </w:pPr>
      <w:rPr>
        <w:rFonts w:hint="default"/>
      </w:rPr>
    </w:lvl>
    <w:lvl w:ilvl="1" w:tentative="0">
      <w:start w:val="1"/>
      <w:numFmt w:val="decimal"/>
      <w:lvlText w:val="%1.%2"/>
      <w:lvlJc w:val="left"/>
      <w:pPr>
        <w:ind w:left="944" w:hanging="401"/>
        <w:jc w:val="right"/>
      </w:pPr>
      <w:rPr>
        <w:rFonts w:hint="default" w:ascii="微软雅黑" w:hAnsi="微软雅黑" w:eastAsia="微软雅黑" w:cs="微软雅黑"/>
        <w:spacing w:val="-1"/>
        <w:w w:val="99"/>
        <w:sz w:val="21"/>
        <w:szCs w:val="21"/>
      </w:rPr>
    </w:lvl>
    <w:lvl w:ilvl="2" w:tentative="0">
      <w:start w:val="1"/>
      <w:numFmt w:val="decimal"/>
      <w:lvlText w:val="%1.%2.%3"/>
      <w:lvlJc w:val="left"/>
      <w:pPr>
        <w:ind w:left="1067" w:hanging="524"/>
        <w:jc w:val="left"/>
      </w:pPr>
      <w:rPr>
        <w:rFonts w:hint="default" w:ascii="微软雅黑" w:hAnsi="微软雅黑" w:eastAsia="微软雅黑" w:cs="微软雅黑"/>
        <w:spacing w:val="-1"/>
        <w:w w:val="99"/>
        <w:sz w:val="21"/>
        <w:szCs w:val="21"/>
      </w:rPr>
    </w:lvl>
    <w:lvl w:ilvl="3" w:tentative="0">
      <w:start w:val="0"/>
      <w:numFmt w:val="bullet"/>
      <w:lvlText w:val="•"/>
      <w:lvlJc w:val="left"/>
      <w:pPr>
        <w:ind w:left="1120" w:hanging="524"/>
      </w:pPr>
      <w:rPr>
        <w:rFonts w:hint="default"/>
      </w:rPr>
    </w:lvl>
    <w:lvl w:ilvl="4" w:tentative="0">
      <w:start w:val="0"/>
      <w:numFmt w:val="bullet"/>
      <w:lvlText w:val="•"/>
      <w:lvlJc w:val="left"/>
      <w:pPr>
        <w:ind w:left="2452" w:hanging="524"/>
      </w:pPr>
      <w:rPr>
        <w:rFonts w:hint="default"/>
      </w:rPr>
    </w:lvl>
    <w:lvl w:ilvl="5" w:tentative="0">
      <w:start w:val="0"/>
      <w:numFmt w:val="bullet"/>
      <w:lvlText w:val="•"/>
      <w:lvlJc w:val="left"/>
      <w:pPr>
        <w:ind w:left="3784" w:hanging="524"/>
      </w:pPr>
      <w:rPr>
        <w:rFonts w:hint="default"/>
      </w:rPr>
    </w:lvl>
    <w:lvl w:ilvl="6" w:tentative="0">
      <w:start w:val="0"/>
      <w:numFmt w:val="bullet"/>
      <w:lvlText w:val="•"/>
      <w:lvlJc w:val="left"/>
      <w:pPr>
        <w:ind w:left="5117" w:hanging="524"/>
      </w:pPr>
      <w:rPr>
        <w:rFonts w:hint="default"/>
      </w:rPr>
    </w:lvl>
    <w:lvl w:ilvl="7" w:tentative="0">
      <w:start w:val="0"/>
      <w:numFmt w:val="bullet"/>
      <w:lvlText w:val="•"/>
      <w:lvlJc w:val="left"/>
      <w:pPr>
        <w:ind w:left="6449" w:hanging="524"/>
      </w:pPr>
      <w:rPr>
        <w:rFonts w:hint="default"/>
      </w:rPr>
    </w:lvl>
    <w:lvl w:ilvl="8" w:tentative="0">
      <w:start w:val="0"/>
      <w:numFmt w:val="bullet"/>
      <w:lvlText w:val="•"/>
      <w:lvlJc w:val="left"/>
      <w:pPr>
        <w:ind w:left="7782" w:hanging="524"/>
      </w:pPr>
      <w:rPr>
        <w:rFonts w:hint="default"/>
      </w:rPr>
    </w:lvl>
  </w:abstractNum>
  <w:abstractNum w:abstractNumId="18">
    <w:nsid w:val="40F245EA"/>
    <w:multiLevelType w:val="multilevel"/>
    <w:tmpl w:val="40F245EA"/>
    <w:lvl w:ilvl="0" w:tentative="0">
      <w:start w:val="1"/>
      <w:numFmt w:val="decimal"/>
      <w:lvlText w:val="%1)"/>
      <w:lvlJc w:val="left"/>
      <w:pPr>
        <w:ind w:left="947" w:hanging="404"/>
        <w:jc w:val="left"/>
      </w:pPr>
      <w:rPr>
        <w:rFonts w:hint="default" w:ascii="微软雅黑" w:hAnsi="微软雅黑" w:eastAsia="微软雅黑" w:cs="微软雅黑"/>
        <w:spacing w:val="-1"/>
        <w:w w:val="99"/>
        <w:sz w:val="21"/>
        <w:szCs w:val="21"/>
      </w:rPr>
    </w:lvl>
    <w:lvl w:ilvl="1" w:tentative="0">
      <w:start w:val="0"/>
      <w:numFmt w:val="bullet"/>
      <w:lvlText w:val="•"/>
      <w:lvlJc w:val="left"/>
      <w:pPr>
        <w:ind w:left="1890" w:hanging="404"/>
      </w:pPr>
      <w:rPr>
        <w:rFonts w:hint="default"/>
      </w:rPr>
    </w:lvl>
    <w:lvl w:ilvl="2" w:tentative="0">
      <w:start w:val="0"/>
      <w:numFmt w:val="bullet"/>
      <w:lvlText w:val="•"/>
      <w:lvlJc w:val="left"/>
      <w:pPr>
        <w:ind w:left="2841" w:hanging="404"/>
      </w:pPr>
      <w:rPr>
        <w:rFonts w:hint="default"/>
      </w:rPr>
    </w:lvl>
    <w:lvl w:ilvl="3" w:tentative="0">
      <w:start w:val="0"/>
      <w:numFmt w:val="bullet"/>
      <w:lvlText w:val="•"/>
      <w:lvlJc w:val="left"/>
      <w:pPr>
        <w:ind w:left="3792" w:hanging="404"/>
      </w:pPr>
      <w:rPr>
        <w:rFonts w:hint="default"/>
      </w:rPr>
    </w:lvl>
    <w:lvl w:ilvl="4" w:tentative="0">
      <w:start w:val="0"/>
      <w:numFmt w:val="bullet"/>
      <w:lvlText w:val="•"/>
      <w:lvlJc w:val="left"/>
      <w:pPr>
        <w:ind w:left="4742" w:hanging="404"/>
      </w:pPr>
      <w:rPr>
        <w:rFonts w:hint="default"/>
      </w:rPr>
    </w:lvl>
    <w:lvl w:ilvl="5" w:tentative="0">
      <w:start w:val="0"/>
      <w:numFmt w:val="bullet"/>
      <w:lvlText w:val="•"/>
      <w:lvlJc w:val="left"/>
      <w:pPr>
        <w:ind w:left="5693" w:hanging="404"/>
      </w:pPr>
      <w:rPr>
        <w:rFonts w:hint="default"/>
      </w:rPr>
    </w:lvl>
    <w:lvl w:ilvl="6" w:tentative="0">
      <w:start w:val="0"/>
      <w:numFmt w:val="bullet"/>
      <w:lvlText w:val="•"/>
      <w:lvlJc w:val="left"/>
      <w:pPr>
        <w:ind w:left="6644" w:hanging="404"/>
      </w:pPr>
      <w:rPr>
        <w:rFonts w:hint="default"/>
      </w:rPr>
    </w:lvl>
    <w:lvl w:ilvl="7" w:tentative="0">
      <w:start w:val="0"/>
      <w:numFmt w:val="bullet"/>
      <w:lvlText w:val="•"/>
      <w:lvlJc w:val="left"/>
      <w:pPr>
        <w:ind w:left="7594" w:hanging="404"/>
      </w:pPr>
      <w:rPr>
        <w:rFonts w:hint="default"/>
      </w:rPr>
    </w:lvl>
    <w:lvl w:ilvl="8" w:tentative="0">
      <w:start w:val="0"/>
      <w:numFmt w:val="bullet"/>
      <w:lvlText w:val="•"/>
      <w:lvlJc w:val="left"/>
      <w:pPr>
        <w:ind w:left="8545" w:hanging="404"/>
      </w:pPr>
      <w:rPr>
        <w:rFonts w:hint="default"/>
      </w:rPr>
    </w:lvl>
  </w:abstractNum>
  <w:abstractNum w:abstractNumId="19">
    <w:nsid w:val="4D63189B"/>
    <w:multiLevelType w:val="multilevel"/>
    <w:tmpl w:val="4D63189B"/>
    <w:lvl w:ilvl="0" w:tentative="0">
      <w:start w:val="1"/>
      <w:numFmt w:val="decimal"/>
      <w:lvlText w:val="%1)"/>
      <w:lvlJc w:val="left"/>
      <w:pPr>
        <w:ind w:left="107" w:hanging="404"/>
        <w:jc w:val="left"/>
      </w:pPr>
      <w:rPr>
        <w:rFonts w:hint="default" w:ascii="微软雅黑" w:hAnsi="微软雅黑" w:eastAsia="微软雅黑" w:cs="微软雅黑"/>
        <w:spacing w:val="-1"/>
        <w:w w:val="99"/>
        <w:sz w:val="21"/>
        <w:szCs w:val="21"/>
      </w:rPr>
    </w:lvl>
    <w:lvl w:ilvl="1" w:tentative="0">
      <w:start w:val="0"/>
      <w:numFmt w:val="bullet"/>
      <w:lvlText w:val="•"/>
      <w:lvlJc w:val="left"/>
      <w:pPr>
        <w:ind w:left="1134" w:hanging="404"/>
      </w:pPr>
      <w:rPr>
        <w:rFonts w:hint="default"/>
      </w:rPr>
    </w:lvl>
    <w:lvl w:ilvl="2" w:tentative="0">
      <w:start w:val="0"/>
      <w:numFmt w:val="bullet"/>
      <w:lvlText w:val="•"/>
      <w:lvlJc w:val="left"/>
      <w:pPr>
        <w:ind w:left="2169" w:hanging="404"/>
      </w:pPr>
      <w:rPr>
        <w:rFonts w:hint="default"/>
      </w:rPr>
    </w:lvl>
    <w:lvl w:ilvl="3" w:tentative="0">
      <w:start w:val="0"/>
      <w:numFmt w:val="bullet"/>
      <w:lvlText w:val="•"/>
      <w:lvlJc w:val="left"/>
      <w:pPr>
        <w:ind w:left="3204" w:hanging="404"/>
      </w:pPr>
      <w:rPr>
        <w:rFonts w:hint="default"/>
      </w:rPr>
    </w:lvl>
    <w:lvl w:ilvl="4" w:tentative="0">
      <w:start w:val="0"/>
      <w:numFmt w:val="bullet"/>
      <w:lvlText w:val="•"/>
      <w:lvlJc w:val="left"/>
      <w:pPr>
        <w:ind w:left="4238" w:hanging="404"/>
      </w:pPr>
      <w:rPr>
        <w:rFonts w:hint="default"/>
      </w:rPr>
    </w:lvl>
    <w:lvl w:ilvl="5" w:tentative="0">
      <w:start w:val="0"/>
      <w:numFmt w:val="bullet"/>
      <w:lvlText w:val="•"/>
      <w:lvlJc w:val="left"/>
      <w:pPr>
        <w:ind w:left="5273" w:hanging="404"/>
      </w:pPr>
      <w:rPr>
        <w:rFonts w:hint="default"/>
      </w:rPr>
    </w:lvl>
    <w:lvl w:ilvl="6" w:tentative="0">
      <w:start w:val="0"/>
      <w:numFmt w:val="bullet"/>
      <w:lvlText w:val="•"/>
      <w:lvlJc w:val="left"/>
      <w:pPr>
        <w:ind w:left="6308" w:hanging="404"/>
      </w:pPr>
      <w:rPr>
        <w:rFonts w:hint="default"/>
      </w:rPr>
    </w:lvl>
    <w:lvl w:ilvl="7" w:tentative="0">
      <w:start w:val="0"/>
      <w:numFmt w:val="bullet"/>
      <w:lvlText w:val="•"/>
      <w:lvlJc w:val="left"/>
      <w:pPr>
        <w:ind w:left="7342" w:hanging="404"/>
      </w:pPr>
      <w:rPr>
        <w:rFonts w:hint="default"/>
      </w:rPr>
    </w:lvl>
    <w:lvl w:ilvl="8" w:tentative="0">
      <w:start w:val="0"/>
      <w:numFmt w:val="bullet"/>
      <w:lvlText w:val="•"/>
      <w:lvlJc w:val="left"/>
      <w:pPr>
        <w:ind w:left="8377" w:hanging="404"/>
      </w:pPr>
      <w:rPr>
        <w:rFonts w:hint="default"/>
      </w:rPr>
    </w:lvl>
  </w:abstractNum>
  <w:abstractNum w:abstractNumId="20">
    <w:nsid w:val="4FB438A5"/>
    <w:multiLevelType w:val="multilevel"/>
    <w:tmpl w:val="4FB438A5"/>
    <w:lvl w:ilvl="0" w:tentative="0">
      <w:start w:val="1"/>
      <w:numFmt w:val="decimal"/>
      <w:lvlText w:val="%1)"/>
      <w:lvlJc w:val="left"/>
      <w:pPr>
        <w:ind w:left="107" w:hanging="404"/>
        <w:jc w:val="left"/>
      </w:pPr>
      <w:rPr>
        <w:rFonts w:hint="default" w:ascii="微软雅黑" w:hAnsi="微软雅黑" w:eastAsia="微软雅黑" w:cs="微软雅黑"/>
        <w:spacing w:val="-1"/>
        <w:w w:val="99"/>
        <w:sz w:val="21"/>
        <w:szCs w:val="21"/>
      </w:rPr>
    </w:lvl>
    <w:lvl w:ilvl="1" w:tentative="0">
      <w:start w:val="0"/>
      <w:numFmt w:val="bullet"/>
      <w:lvlText w:val="•"/>
      <w:lvlJc w:val="left"/>
      <w:pPr>
        <w:ind w:left="1134" w:hanging="404"/>
      </w:pPr>
      <w:rPr>
        <w:rFonts w:hint="default"/>
      </w:rPr>
    </w:lvl>
    <w:lvl w:ilvl="2" w:tentative="0">
      <w:start w:val="0"/>
      <w:numFmt w:val="bullet"/>
      <w:lvlText w:val="•"/>
      <w:lvlJc w:val="left"/>
      <w:pPr>
        <w:ind w:left="2169" w:hanging="404"/>
      </w:pPr>
      <w:rPr>
        <w:rFonts w:hint="default"/>
      </w:rPr>
    </w:lvl>
    <w:lvl w:ilvl="3" w:tentative="0">
      <w:start w:val="0"/>
      <w:numFmt w:val="bullet"/>
      <w:lvlText w:val="•"/>
      <w:lvlJc w:val="left"/>
      <w:pPr>
        <w:ind w:left="3204" w:hanging="404"/>
      </w:pPr>
      <w:rPr>
        <w:rFonts w:hint="default"/>
      </w:rPr>
    </w:lvl>
    <w:lvl w:ilvl="4" w:tentative="0">
      <w:start w:val="0"/>
      <w:numFmt w:val="bullet"/>
      <w:lvlText w:val="•"/>
      <w:lvlJc w:val="left"/>
      <w:pPr>
        <w:ind w:left="4238" w:hanging="404"/>
      </w:pPr>
      <w:rPr>
        <w:rFonts w:hint="default"/>
      </w:rPr>
    </w:lvl>
    <w:lvl w:ilvl="5" w:tentative="0">
      <w:start w:val="0"/>
      <w:numFmt w:val="bullet"/>
      <w:lvlText w:val="•"/>
      <w:lvlJc w:val="left"/>
      <w:pPr>
        <w:ind w:left="5273" w:hanging="404"/>
      </w:pPr>
      <w:rPr>
        <w:rFonts w:hint="default"/>
      </w:rPr>
    </w:lvl>
    <w:lvl w:ilvl="6" w:tentative="0">
      <w:start w:val="0"/>
      <w:numFmt w:val="bullet"/>
      <w:lvlText w:val="•"/>
      <w:lvlJc w:val="left"/>
      <w:pPr>
        <w:ind w:left="6308" w:hanging="404"/>
      </w:pPr>
      <w:rPr>
        <w:rFonts w:hint="default"/>
      </w:rPr>
    </w:lvl>
    <w:lvl w:ilvl="7" w:tentative="0">
      <w:start w:val="0"/>
      <w:numFmt w:val="bullet"/>
      <w:lvlText w:val="•"/>
      <w:lvlJc w:val="left"/>
      <w:pPr>
        <w:ind w:left="7342" w:hanging="404"/>
      </w:pPr>
      <w:rPr>
        <w:rFonts w:hint="default"/>
      </w:rPr>
    </w:lvl>
    <w:lvl w:ilvl="8" w:tentative="0">
      <w:start w:val="0"/>
      <w:numFmt w:val="bullet"/>
      <w:lvlText w:val="•"/>
      <w:lvlJc w:val="left"/>
      <w:pPr>
        <w:ind w:left="8377" w:hanging="404"/>
      </w:pPr>
      <w:rPr>
        <w:rFonts w:hint="default"/>
      </w:rPr>
    </w:lvl>
  </w:abstractNum>
  <w:abstractNum w:abstractNumId="21">
    <w:nsid w:val="51C4BC33"/>
    <w:multiLevelType w:val="multilevel"/>
    <w:tmpl w:val="51C4BC33"/>
    <w:lvl w:ilvl="0" w:tentative="0">
      <w:start w:val="3"/>
      <w:numFmt w:val="decimal"/>
      <w:lvlText w:val="%1"/>
      <w:lvlJc w:val="left"/>
      <w:pPr>
        <w:ind w:left="1049" w:hanging="506"/>
        <w:jc w:val="left"/>
      </w:pPr>
      <w:rPr>
        <w:rFonts w:hint="default"/>
      </w:rPr>
    </w:lvl>
    <w:lvl w:ilvl="1" w:tentative="0">
      <w:start w:val="2"/>
      <w:numFmt w:val="decimal"/>
      <w:lvlText w:val="%1.%2."/>
      <w:lvlJc w:val="left"/>
      <w:pPr>
        <w:ind w:left="1049" w:hanging="506"/>
        <w:jc w:val="left"/>
      </w:pPr>
      <w:rPr>
        <w:rFonts w:hint="default" w:ascii="微软雅黑" w:hAnsi="微软雅黑" w:eastAsia="微软雅黑" w:cs="微软雅黑"/>
        <w:spacing w:val="-1"/>
        <w:w w:val="99"/>
        <w:sz w:val="19"/>
        <w:szCs w:val="19"/>
      </w:rPr>
    </w:lvl>
    <w:lvl w:ilvl="2" w:tentative="0">
      <w:start w:val="1"/>
      <w:numFmt w:val="decimal"/>
      <w:lvlText w:val="%1.%2.%3"/>
      <w:lvlJc w:val="left"/>
      <w:pPr>
        <w:ind w:left="1120" w:hanging="576"/>
        <w:jc w:val="left"/>
      </w:pPr>
      <w:rPr>
        <w:rFonts w:hint="default" w:ascii="微软雅黑" w:hAnsi="微软雅黑" w:eastAsia="微软雅黑" w:cs="微软雅黑"/>
        <w:spacing w:val="-1"/>
        <w:w w:val="99"/>
        <w:sz w:val="21"/>
        <w:szCs w:val="21"/>
      </w:rPr>
    </w:lvl>
    <w:lvl w:ilvl="3" w:tentative="0">
      <w:start w:val="0"/>
      <w:numFmt w:val="bullet"/>
      <w:lvlText w:val="•"/>
      <w:lvlJc w:val="left"/>
      <w:pPr>
        <w:ind w:left="3192" w:hanging="576"/>
      </w:pPr>
      <w:rPr>
        <w:rFonts w:hint="default"/>
      </w:rPr>
    </w:lvl>
    <w:lvl w:ilvl="4" w:tentative="0">
      <w:start w:val="0"/>
      <w:numFmt w:val="bullet"/>
      <w:lvlText w:val="•"/>
      <w:lvlJc w:val="left"/>
      <w:pPr>
        <w:ind w:left="4229" w:hanging="576"/>
      </w:pPr>
      <w:rPr>
        <w:rFonts w:hint="default"/>
      </w:rPr>
    </w:lvl>
    <w:lvl w:ilvl="5" w:tentative="0">
      <w:start w:val="0"/>
      <w:numFmt w:val="bullet"/>
      <w:lvlText w:val="•"/>
      <w:lvlJc w:val="left"/>
      <w:pPr>
        <w:ind w:left="5265" w:hanging="576"/>
      </w:pPr>
      <w:rPr>
        <w:rFonts w:hint="default"/>
      </w:rPr>
    </w:lvl>
    <w:lvl w:ilvl="6" w:tentative="0">
      <w:start w:val="0"/>
      <w:numFmt w:val="bullet"/>
      <w:lvlText w:val="•"/>
      <w:lvlJc w:val="left"/>
      <w:pPr>
        <w:ind w:left="6301" w:hanging="576"/>
      </w:pPr>
      <w:rPr>
        <w:rFonts w:hint="default"/>
      </w:rPr>
    </w:lvl>
    <w:lvl w:ilvl="7" w:tentative="0">
      <w:start w:val="0"/>
      <w:numFmt w:val="bullet"/>
      <w:lvlText w:val="•"/>
      <w:lvlJc w:val="left"/>
      <w:pPr>
        <w:ind w:left="7338" w:hanging="576"/>
      </w:pPr>
      <w:rPr>
        <w:rFonts w:hint="default"/>
      </w:rPr>
    </w:lvl>
    <w:lvl w:ilvl="8" w:tentative="0">
      <w:start w:val="0"/>
      <w:numFmt w:val="bullet"/>
      <w:lvlText w:val="•"/>
      <w:lvlJc w:val="left"/>
      <w:pPr>
        <w:ind w:left="8374" w:hanging="576"/>
      </w:pPr>
      <w:rPr>
        <w:rFonts w:hint="default"/>
      </w:rPr>
    </w:lvl>
  </w:abstractNum>
  <w:abstractNum w:abstractNumId="22">
    <w:nsid w:val="6D423078"/>
    <w:multiLevelType w:val="multilevel"/>
    <w:tmpl w:val="6D423078"/>
    <w:lvl w:ilvl="0" w:tentative="0">
      <w:start w:val="1"/>
      <w:numFmt w:val="decimal"/>
      <w:lvlText w:val="%1)"/>
      <w:lvlJc w:val="left"/>
      <w:pPr>
        <w:ind w:left="947" w:hanging="404"/>
        <w:jc w:val="left"/>
      </w:pPr>
      <w:rPr>
        <w:rFonts w:hint="default" w:ascii="微软雅黑" w:hAnsi="微软雅黑" w:eastAsia="微软雅黑" w:cs="微软雅黑"/>
        <w:spacing w:val="-1"/>
        <w:w w:val="99"/>
        <w:sz w:val="21"/>
        <w:szCs w:val="21"/>
      </w:rPr>
    </w:lvl>
    <w:lvl w:ilvl="1" w:tentative="0">
      <w:start w:val="0"/>
      <w:numFmt w:val="bullet"/>
      <w:lvlText w:val="•"/>
      <w:lvlJc w:val="left"/>
      <w:pPr>
        <w:ind w:left="1890" w:hanging="404"/>
      </w:pPr>
      <w:rPr>
        <w:rFonts w:hint="default"/>
      </w:rPr>
    </w:lvl>
    <w:lvl w:ilvl="2" w:tentative="0">
      <w:start w:val="0"/>
      <w:numFmt w:val="bullet"/>
      <w:lvlText w:val="•"/>
      <w:lvlJc w:val="left"/>
      <w:pPr>
        <w:ind w:left="2841" w:hanging="404"/>
      </w:pPr>
      <w:rPr>
        <w:rFonts w:hint="default"/>
      </w:rPr>
    </w:lvl>
    <w:lvl w:ilvl="3" w:tentative="0">
      <w:start w:val="0"/>
      <w:numFmt w:val="bullet"/>
      <w:lvlText w:val="•"/>
      <w:lvlJc w:val="left"/>
      <w:pPr>
        <w:ind w:left="3792" w:hanging="404"/>
      </w:pPr>
      <w:rPr>
        <w:rFonts w:hint="default"/>
      </w:rPr>
    </w:lvl>
    <w:lvl w:ilvl="4" w:tentative="0">
      <w:start w:val="0"/>
      <w:numFmt w:val="bullet"/>
      <w:lvlText w:val="•"/>
      <w:lvlJc w:val="left"/>
      <w:pPr>
        <w:ind w:left="4742" w:hanging="404"/>
      </w:pPr>
      <w:rPr>
        <w:rFonts w:hint="default"/>
      </w:rPr>
    </w:lvl>
    <w:lvl w:ilvl="5" w:tentative="0">
      <w:start w:val="0"/>
      <w:numFmt w:val="bullet"/>
      <w:lvlText w:val="•"/>
      <w:lvlJc w:val="left"/>
      <w:pPr>
        <w:ind w:left="5693" w:hanging="404"/>
      </w:pPr>
      <w:rPr>
        <w:rFonts w:hint="default"/>
      </w:rPr>
    </w:lvl>
    <w:lvl w:ilvl="6" w:tentative="0">
      <w:start w:val="0"/>
      <w:numFmt w:val="bullet"/>
      <w:lvlText w:val="•"/>
      <w:lvlJc w:val="left"/>
      <w:pPr>
        <w:ind w:left="6644" w:hanging="404"/>
      </w:pPr>
      <w:rPr>
        <w:rFonts w:hint="default"/>
      </w:rPr>
    </w:lvl>
    <w:lvl w:ilvl="7" w:tentative="0">
      <w:start w:val="0"/>
      <w:numFmt w:val="bullet"/>
      <w:lvlText w:val="•"/>
      <w:lvlJc w:val="left"/>
      <w:pPr>
        <w:ind w:left="7594" w:hanging="404"/>
      </w:pPr>
      <w:rPr>
        <w:rFonts w:hint="default"/>
      </w:rPr>
    </w:lvl>
    <w:lvl w:ilvl="8" w:tentative="0">
      <w:start w:val="0"/>
      <w:numFmt w:val="bullet"/>
      <w:lvlText w:val="•"/>
      <w:lvlJc w:val="left"/>
      <w:pPr>
        <w:ind w:left="8545" w:hanging="404"/>
      </w:pPr>
      <w:rPr>
        <w:rFonts w:hint="default"/>
      </w:rPr>
    </w:lvl>
  </w:abstractNum>
  <w:num w:numId="1">
    <w:abstractNumId w:val="2"/>
  </w:num>
  <w:num w:numId="2">
    <w:abstractNumId w:val="15"/>
  </w:num>
  <w:num w:numId="3">
    <w:abstractNumId w:val="21"/>
  </w:num>
  <w:num w:numId="4">
    <w:abstractNumId w:val="3"/>
  </w:num>
  <w:num w:numId="5">
    <w:abstractNumId w:val="0"/>
  </w:num>
  <w:num w:numId="6">
    <w:abstractNumId w:val="14"/>
  </w:num>
  <w:num w:numId="7">
    <w:abstractNumId w:val="18"/>
  </w:num>
  <w:num w:numId="8">
    <w:abstractNumId w:val="11"/>
  </w:num>
  <w:num w:numId="9">
    <w:abstractNumId w:val="19"/>
  </w:num>
  <w:num w:numId="10">
    <w:abstractNumId w:val="20"/>
  </w:num>
  <w:num w:numId="11">
    <w:abstractNumId w:val="13"/>
  </w:num>
  <w:num w:numId="12">
    <w:abstractNumId w:val="6"/>
  </w:num>
  <w:num w:numId="13">
    <w:abstractNumId w:val="1"/>
  </w:num>
  <w:num w:numId="14">
    <w:abstractNumId w:val="16"/>
  </w:num>
  <w:num w:numId="15">
    <w:abstractNumId w:val="17"/>
  </w:num>
  <w:num w:numId="16">
    <w:abstractNumId w:val="10"/>
  </w:num>
  <w:num w:numId="17">
    <w:abstractNumId w:val="22"/>
  </w:num>
  <w:num w:numId="18">
    <w:abstractNumId w:val="5"/>
  </w:num>
  <w:num w:numId="19">
    <w:abstractNumId w:val="12"/>
  </w:num>
  <w:num w:numId="20">
    <w:abstractNumId w:val="9"/>
  </w:num>
  <w:num w:numId="21">
    <w:abstractNumId w:val="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NDBhMTkxMzUzZWU4MDZhODYyZTY3YTNmMDFhMzFhNjMifQ=="/>
  </w:docVars>
  <w:rsids>
    <w:rsidRoot w:val="00000000"/>
    <w:rsid w:val="245A4360"/>
    <w:rsid w:val="293B311B"/>
    <w:rsid w:val="5250634A"/>
    <w:rsid w:val="790F69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ar-SA"/>
    </w:rPr>
  </w:style>
  <w:style w:type="paragraph" w:styleId="2">
    <w:name w:val="heading 1"/>
    <w:basedOn w:val="1"/>
    <w:next w:val="1"/>
    <w:qFormat/>
    <w:uiPriority w:val="1"/>
    <w:pPr>
      <w:ind w:right="138"/>
      <w:jc w:val="center"/>
      <w:outlineLvl w:val="1"/>
    </w:pPr>
    <w:rPr>
      <w:rFonts w:ascii="微软雅黑" w:hAnsi="微软雅黑" w:eastAsia="微软雅黑" w:cs="微软雅黑"/>
      <w:b/>
      <w:bCs/>
      <w:sz w:val="32"/>
      <w:szCs w:val="32"/>
    </w:rPr>
  </w:style>
  <w:style w:type="paragraph" w:styleId="3">
    <w:name w:val="heading 5"/>
    <w:basedOn w:val="1"/>
    <w:next w:val="1"/>
    <w:uiPriority w:val="0"/>
    <w:pPr>
      <w:keepNext/>
      <w:jc w:val="center"/>
      <w:outlineLvl w:val="4"/>
    </w:pPr>
    <w:rPr>
      <w:rFonts w:ascii="黑体" w:eastAsia="黑体"/>
      <w:sz w:val="72"/>
      <w:szCs w:val="21"/>
    </w:rPr>
  </w:style>
  <w:style w:type="character" w:default="1" w:styleId="9">
    <w:name w:val="Default Paragraph Font"/>
    <w:semiHidden/>
    <w:unhideWhenUsed/>
    <w:uiPriority w:val="1"/>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07" w:hanging="403"/>
    </w:pPr>
    <w:rPr>
      <w:rFonts w:ascii="微软雅黑" w:hAnsi="微软雅黑" w:eastAsia="微软雅黑" w:cs="微软雅黑"/>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1"/>
    <w:pPr>
      <w:spacing w:line="360" w:lineRule="exact"/>
      <w:ind w:left="107"/>
    </w:pPr>
    <w:rPr>
      <w:rFonts w:ascii="微软雅黑" w:hAnsi="微软雅黑" w:eastAsia="微软雅黑" w:cs="微软雅黑"/>
      <w:sz w:val="21"/>
      <w:szCs w:val="2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4"/>
      <w:ind w:left="947" w:hanging="403"/>
    </w:pPr>
    <w:rPr>
      <w:rFonts w:ascii="微软雅黑" w:hAnsi="微软雅黑" w:eastAsia="微软雅黑" w:cs="微软雅黑"/>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10366</Words>
  <Characters>10638</Characters>
  <TotalTime>1</TotalTime>
  <ScaleCrop>false</ScaleCrop>
  <LinksUpToDate>false</LinksUpToDate>
  <CharactersWithSpaces>11359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2023-02-12T10:48:00Z</dcterms:created>
  <dc:creator>番茄花园</dc:creator>
  <cp:lastModifiedBy>春韵萍音</cp:lastModifiedBy>
  <dcterms:modified xsi:type="dcterms:W3CDTF">2023-02-14T11:15:00Z</dcterms:modified>
  <dc:title>GZCC获证组织须知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WPS 文字</vt:lpwstr>
  </property>
  <property fmtid="{D5CDD505-2E9C-101B-9397-08002B2CF9AE}" pid="4" name="LastSaved">
    <vt:filetime>2023-02-12T00:00:00Z</vt:filetime>
  </property>
  <property fmtid="{D5CDD505-2E9C-101B-9397-08002B2CF9AE}" pid="5" name="KSOProductBuildVer">
    <vt:lpwstr>2052-11.1.0.13703</vt:lpwstr>
  </property>
  <property fmtid="{D5CDD505-2E9C-101B-9397-08002B2CF9AE}" pid="6" name="ICV">
    <vt:lpwstr>619608D4989B49AA977293C34EDBEDBC</vt:lpwstr>
  </property>
</Properties>
</file>